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after="0"/>
        <w:ind w:right="2"/>
        <w:rPr>
          <w:rFonts w:ascii="Arial" w:hAnsi="Arial" w:eastAsia="Batang" w:cs="Arial"/>
          <w:b/>
          <w:sz w:val="28"/>
          <w:szCs w:val="24"/>
          <w:lang w:val="en-US" w:eastAsia="zh-CN" w:bidi="ar"/>
        </w:rPr>
      </w:pPr>
      <w:r>
        <w:rPr>
          <w:rFonts w:ascii="Arial" w:hAnsi="Arial" w:eastAsia="Batang" w:cs="Arial"/>
          <w:b/>
          <w:sz w:val="28"/>
          <w:szCs w:val="24"/>
          <w:lang w:val="en-US" w:eastAsia="zh-CN" w:bidi="ar"/>
        </w:rPr>
        <w:t>3GPP TSG RAN WG1 #113</w:t>
      </w:r>
      <w:r>
        <w:rPr>
          <w:rFonts w:ascii="Arial" w:hAnsi="Arial" w:eastAsia="Batang" w:cs="Arial"/>
          <w:b/>
          <w:sz w:val="28"/>
          <w:szCs w:val="24"/>
          <w:lang w:val="en-US" w:eastAsia="zh-CN" w:bidi="ar"/>
        </w:rPr>
        <w:tab/>
      </w:r>
      <w:r>
        <w:rPr>
          <w:rFonts w:ascii="Arial" w:hAnsi="Arial" w:eastAsia="Batang" w:cs="Arial"/>
          <w:b/>
          <w:sz w:val="28"/>
          <w:szCs w:val="24"/>
          <w:lang w:val="en-US" w:eastAsia="zh-CN" w:bidi="ar"/>
        </w:rPr>
        <w:tab/>
      </w:r>
      <w:r>
        <w:rPr>
          <w:rFonts w:hint="eastAsia" w:ascii="Arial" w:hAnsi="Arial" w:eastAsia="Batang" w:cs="Arial"/>
          <w:b/>
          <w:sz w:val="28"/>
          <w:szCs w:val="24"/>
          <w:lang w:val="en-US" w:eastAsia="zh-CN" w:bidi="ar"/>
        </w:rPr>
        <w:t xml:space="preserve"> </w:t>
      </w:r>
      <w:r>
        <w:rPr>
          <w:rFonts w:ascii="Arial" w:hAnsi="Arial" w:eastAsia="Batang" w:cs="Arial"/>
          <w:b/>
          <w:sz w:val="28"/>
          <w:szCs w:val="24"/>
          <w:lang w:val="en-US" w:eastAsia="zh-CN" w:bidi="ar"/>
        </w:rPr>
        <w:t xml:space="preserve">        </w:t>
      </w:r>
      <w:r>
        <w:rPr>
          <w:rFonts w:hint="eastAsia" w:ascii="Arial" w:hAnsi="Arial" w:eastAsia="Batang" w:cs="Arial"/>
          <w:b/>
          <w:sz w:val="28"/>
          <w:szCs w:val="24"/>
          <w:lang w:val="en-US" w:eastAsia="zh-CN" w:bidi="ar"/>
        </w:rPr>
        <w:t xml:space="preserve">                </w:t>
      </w:r>
      <w:r>
        <w:rPr>
          <w:rFonts w:ascii="Arial" w:hAnsi="Arial" w:eastAsia="Batang" w:cs="Arial"/>
          <w:b/>
          <w:sz w:val="28"/>
          <w:szCs w:val="24"/>
          <w:lang w:val="en-US" w:eastAsia="zh-CN" w:bidi="ar"/>
        </w:rPr>
        <w:t>R1-2304524</w:t>
      </w:r>
    </w:p>
    <w:p>
      <w:pPr>
        <w:tabs>
          <w:tab w:val="center" w:pos="4539"/>
          <w:tab w:val="right" w:pos="7943"/>
          <w:tab w:val="right" w:pos="9645"/>
        </w:tabs>
        <w:spacing w:after="0"/>
        <w:ind w:right="2"/>
        <w:rPr>
          <w:rFonts w:ascii="Arial" w:hAnsi="Arial" w:eastAsia="MS Mincho" w:cs="Arial"/>
          <w:b/>
          <w:sz w:val="28"/>
          <w:szCs w:val="24"/>
          <w:lang w:val="en-US"/>
        </w:rPr>
      </w:pPr>
      <w:r>
        <w:rPr>
          <w:rFonts w:ascii="Arial" w:hAnsi="Arial" w:eastAsia="MS Mincho" w:cs="Arial"/>
          <w:b/>
          <w:sz w:val="28"/>
          <w:szCs w:val="24"/>
          <w:lang w:val="en-US" w:eastAsia="zh-CN" w:bidi="ar"/>
        </w:rPr>
        <w:t>Incheon, Korea, May 22</w:t>
      </w:r>
      <w:r>
        <w:rPr>
          <w:rFonts w:ascii="Arial" w:hAnsi="Arial" w:eastAsia="MS Mincho" w:cs="Arial"/>
          <w:b/>
          <w:sz w:val="28"/>
          <w:szCs w:val="24"/>
          <w:vertAlign w:val="superscript"/>
          <w:lang w:val="en-US" w:eastAsia="zh-CN" w:bidi="ar"/>
        </w:rPr>
        <w:t>nd</w:t>
      </w:r>
      <w:r>
        <w:rPr>
          <w:rFonts w:ascii="Arial" w:hAnsi="Arial" w:eastAsia="MS Mincho" w:cs="Arial"/>
          <w:b/>
          <w:sz w:val="28"/>
          <w:szCs w:val="24"/>
          <w:lang w:val="en-US" w:eastAsia="zh-CN" w:bidi="ar"/>
        </w:rPr>
        <w:t xml:space="preserve"> – May 26</w:t>
      </w:r>
      <w:r>
        <w:rPr>
          <w:rFonts w:ascii="Arial" w:hAnsi="Arial" w:eastAsia="MS Mincho" w:cs="Arial"/>
          <w:b/>
          <w:sz w:val="28"/>
          <w:szCs w:val="24"/>
          <w:vertAlign w:val="superscript"/>
          <w:lang w:val="en-US" w:eastAsia="zh-CN" w:bidi="ar"/>
        </w:rPr>
        <w:t>th</w:t>
      </w:r>
      <w:r>
        <w:rPr>
          <w:rFonts w:ascii="Arial" w:hAnsi="Arial" w:eastAsia="MS Mincho" w:cs="Arial"/>
          <w:b/>
          <w:sz w:val="28"/>
          <w:szCs w:val="24"/>
          <w:lang w:val="en-US" w:eastAsia="zh-CN" w:bidi="ar"/>
        </w:rPr>
        <w:t>, 2023</w:t>
      </w:r>
    </w:p>
    <w:p>
      <w:pPr>
        <w:pStyle w:val="25"/>
        <w:rPr>
          <w:lang w:val="en-US"/>
        </w:rPr>
      </w:pPr>
    </w:p>
    <w:p>
      <w:pPr>
        <w:pStyle w:val="25"/>
        <w:rPr>
          <w:sz w:val="22"/>
          <w:szCs w:val="22"/>
        </w:rPr>
      </w:pPr>
      <w:r>
        <w:rPr>
          <w:sz w:val="22"/>
          <w:szCs w:val="22"/>
          <w:lang w:val="en-US"/>
        </w:rPr>
        <w:t>Agenda Item:</w:t>
      </w:r>
      <w:r>
        <w:rPr>
          <w:sz w:val="22"/>
          <w:szCs w:val="22"/>
          <w:lang w:val="en-US"/>
        </w:rPr>
        <w:tab/>
      </w:r>
      <w:r>
        <w:rPr>
          <w:sz w:val="22"/>
          <w:szCs w:val="22"/>
        </w:rPr>
        <w:t>5</w:t>
      </w:r>
    </w:p>
    <w:p>
      <w:pPr>
        <w:pStyle w:val="25"/>
        <w:rPr>
          <w:rFonts w:eastAsia="宋体"/>
          <w:sz w:val="22"/>
          <w:szCs w:val="22"/>
          <w:lang w:val="en-US"/>
        </w:rPr>
      </w:pPr>
      <w:r>
        <w:rPr>
          <w:sz w:val="22"/>
          <w:szCs w:val="22"/>
        </w:rPr>
        <w:t>Source:</w:t>
      </w:r>
      <w:r>
        <w:rPr>
          <w:sz w:val="22"/>
          <w:szCs w:val="22"/>
        </w:rPr>
        <w:tab/>
      </w:r>
      <w:r>
        <w:rPr>
          <w:rFonts w:hint="eastAsia" w:eastAsia="宋体"/>
          <w:sz w:val="22"/>
          <w:szCs w:val="22"/>
          <w:lang w:val="en-US"/>
        </w:rPr>
        <w:t>ZTE, Sanechips</w:t>
      </w:r>
    </w:p>
    <w:p>
      <w:pPr>
        <w:pStyle w:val="25"/>
        <w:ind w:left="1701" w:hanging="1701"/>
        <w:rPr>
          <w:rFonts w:eastAsia="宋体"/>
          <w:bCs/>
          <w:sz w:val="22"/>
          <w:szCs w:val="22"/>
          <w:lang w:val="en-US"/>
        </w:rPr>
      </w:pPr>
      <w:r>
        <w:rPr>
          <w:sz w:val="22"/>
          <w:szCs w:val="22"/>
        </w:rPr>
        <w:t>Title:</w:t>
      </w:r>
      <w:r>
        <w:rPr>
          <w:sz w:val="22"/>
          <w:szCs w:val="22"/>
        </w:rPr>
        <w:tab/>
      </w:r>
      <w:r>
        <w:rPr>
          <w:rFonts w:cs="Arial"/>
          <w:color w:val="000000"/>
          <w:sz w:val="21"/>
          <w:szCs w:val="21"/>
          <w:shd w:val="clear" w:color="auto" w:fill="FFFFFF"/>
        </w:rPr>
        <w:t>Discussion on Cell DTX/DRX activation/deactivation</w:t>
      </w:r>
    </w:p>
    <w:p>
      <w:pPr>
        <w:pStyle w:val="25"/>
        <w:ind w:left="1701" w:hanging="1701"/>
        <w:rPr>
          <w:sz w:val="22"/>
        </w:rPr>
      </w:pPr>
      <w:r>
        <w:rPr>
          <w:sz w:val="22"/>
          <w:szCs w:val="22"/>
        </w:rPr>
        <w:t>Document for:</w:t>
      </w:r>
      <w:r>
        <w:rPr>
          <w:sz w:val="22"/>
          <w:szCs w:val="22"/>
        </w:rPr>
        <w:tab/>
      </w:r>
      <w:r>
        <w:rPr>
          <w:sz w:val="22"/>
        </w:rPr>
        <w:t>Discussion, Decision</w:t>
      </w:r>
    </w:p>
    <w:p>
      <w:pPr>
        <w:pStyle w:val="25"/>
      </w:pPr>
    </w:p>
    <w:p>
      <w:pPr>
        <w:pStyle w:val="2"/>
      </w:pPr>
      <w:r>
        <w:t>1</w:t>
      </w:r>
      <w:r>
        <w:tab/>
      </w:r>
      <w:r>
        <w:t>Introduction</w:t>
      </w:r>
    </w:p>
    <w:p>
      <w:pPr>
        <w:rPr>
          <w:rFonts w:eastAsia="宋体"/>
          <w:lang w:val="en-US" w:eastAsia="zh-CN"/>
        </w:rPr>
      </w:pPr>
      <w:r>
        <w:t>RAN WG1 received a LS</w:t>
      </w:r>
      <w:r>
        <w:rPr>
          <w:rFonts w:hint="eastAsia" w:eastAsia="宋体"/>
          <w:lang w:val="en-US" w:eastAsia="zh-CN"/>
        </w:rPr>
        <w:t xml:space="preserve"> </w:t>
      </w:r>
      <w:r>
        <w:rPr>
          <w:rFonts w:eastAsia="宋体"/>
          <w:lang w:val="en-US" w:eastAsia="zh-CN"/>
        </w:rPr>
        <w:t>R1-2304334</w:t>
      </w:r>
      <w:r>
        <w:rPr>
          <w:rFonts w:hint="eastAsia" w:eastAsia="宋体"/>
          <w:lang w:val="en-US" w:eastAsia="zh-CN"/>
        </w:rPr>
        <w:t>(</w:t>
      </w:r>
      <w:r>
        <w:rPr>
          <w:rFonts w:eastAsia="宋体"/>
          <w:lang w:val="en-US" w:eastAsia="zh-CN"/>
        </w:rPr>
        <w:t>R2-2304568</w:t>
      </w:r>
      <w:r>
        <w:rPr>
          <w:rFonts w:hint="eastAsia" w:eastAsia="宋体"/>
          <w:lang w:val="en-US" w:eastAsia="zh-CN"/>
        </w:rPr>
        <w:t>)</w:t>
      </w:r>
      <w:r>
        <w:t xml:space="preserve"> from RAN WG</w:t>
      </w:r>
      <w:r>
        <w:rPr>
          <w:rFonts w:hint="eastAsia" w:eastAsia="宋体"/>
          <w:lang w:val="en-US" w:eastAsia="zh-CN"/>
        </w:rPr>
        <w:t>2 regarding the</w:t>
      </w:r>
      <w:r>
        <w:rPr>
          <w:rFonts w:eastAsia="宋体"/>
          <w:lang w:val="en-US" w:eastAsia="zh-CN"/>
        </w:rPr>
        <w:t xml:space="preserve"> L1 signaling for cell DTX/DRX activation/de-activation [1]</w:t>
      </w:r>
      <w:r>
        <w:rPr>
          <w:rFonts w:hint="eastAsia" w:eastAsia="宋体"/>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lang w:val="en-US" w:eastAsia="zh-CN"/>
              </w:rPr>
            </w:pPr>
            <w:r>
              <w:rPr>
                <w:rFonts w:ascii="Times New Roman" w:hAnsi="Times New Roman"/>
              </w:rPr>
              <w:t>RAN2 has discussed the topic of Cell DTX/DRX and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3" w:type="dxa"/>
                  <w:tcBorders>
                    <w:top w:val="single" w:color="auto" w:sz="4" w:space="0"/>
                    <w:left w:val="single" w:color="auto" w:sz="4" w:space="0"/>
                    <w:bottom w:val="single" w:color="auto" w:sz="4" w:space="0"/>
                    <w:right w:val="single" w:color="auto" w:sz="4" w:space="0"/>
                  </w:tcBorders>
                </w:tcPr>
                <w:p>
                  <w:pPr>
                    <w:pStyle w:val="71"/>
                    <w:rPr>
                      <w:rFonts w:ascii="Times New Roman" w:hAnsi="Times New Roman"/>
                      <w:kern w:val="2"/>
                      <w:sz w:val="20"/>
                      <w:szCs w:val="20"/>
                      <w:u w:val="single"/>
                    </w:rPr>
                  </w:pPr>
                  <w:r>
                    <w:rPr>
                      <w:rFonts w:ascii="Times New Roman" w:hAnsi="Times New Roman"/>
                      <w:kern w:val="2"/>
                      <w:sz w:val="20"/>
                      <w:szCs w:val="20"/>
                      <w:u w:val="single"/>
                    </w:rPr>
                    <w:t>RAN2#121</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There will be no impact to RACH, paging, and SIBs in idle/inactive for both gNB and Rel-18 and legacy UEs</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Rel-18 NES capable CONNECTED UE(s) can perform RACH and receive SIBs in non-active duration of cell DTX and/or DRX (i.e., same behavior for cell DTX and cell DRX).  No further enhancements for CBRA and CFRA will be pursued.</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 xml:space="preserve">Pattern configuration for cell DRX/DTX is common for Rel-18 UEs in the cell.   FFS whether we have DTX UE specific inactivity timer.  FFS on configuration signaling and stage 3.  </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 xml:space="preserve">Confirm study item agreement that we can have separate DTX and DRX configuration.   We will focus on designing DTX/DRX for at least single configuration.  FFS whether multiple configuration of cell DTX or DRX will be supported.  </w:t>
                  </w:r>
                </w:p>
                <w:p>
                  <w:pPr>
                    <w:pStyle w:val="71"/>
                    <w:rPr>
                      <w:rFonts w:ascii="Times New Roman" w:hAnsi="Times New Roman"/>
                      <w:kern w:val="2"/>
                      <w:sz w:val="20"/>
                      <w:szCs w:val="20"/>
                      <w:u w:val="single"/>
                    </w:rPr>
                  </w:pPr>
                  <w:r>
                    <w:rPr>
                      <w:rFonts w:ascii="Times New Roman" w:hAnsi="Times New Roman"/>
                      <w:kern w:val="2"/>
                      <w:sz w:val="20"/>
                      <w:szCs w:val="20"/>
                      <w:u w:val="single"/>
                    </w:rPr>
                    <w:t>RAN2#121bis-e</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 xml:space="preserve">A periodic cell DTX/DRX configuration is explicitly signalled to the UEs. </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 xml:space="preserve">A periodic cell DTX/DRX pattern is configured by UE specific RRC signalling. </w:t>
                  </w:r>
                </w:p>
                <w:p>
                  <w:pPr>
                    <w:pStyle w:val="71"/>
                    <w:numPr>
                      <w:ilvl w:val="0"/>
                      <w:numId w:val="7"/>
                    </w:numPr>
                    <w:rPr>
                      <w:rFonts w:ascii="Times New Roman" w:hAnsi="Times New Roman"/>
                      <w:b w:val="0"/>
                      <w:bCs w:val="0"/>
                      <w:kern w:val="2"/>
                      <w:sz w:val="20"/>
                      <w:szCs w:val="20"/>
                    </w:rPr>
                  </w:pPr>
                  <w:r>
                    <w:rPr>
                      <w:rFonts w:ascii="Times New Roman" w:hAnsi="Times New Roman"/>
                      <w:b w:val="0"/>
                      <w:bCs w:val="0"/>
                      <w:kern w:val="2"/>
                      <w:sz w:val="20"/>
                      <w:szCs w:val="20"/>
                    </w:rPr>
                    <w:t xml:space="preserve">The Cell DTX/DRX configuration contains at least: periodicity, start slot/offset, on duration. </w:t>
                  </w:r>
                </w:p>
                <w:p>
                  <w:pPr>
                    <w:pStyle w:val="71"/>
                    <w:numPr>
                      <w:ilvl w:val="0"/>
                      <w:numId w:val="7"/>
                    </w:numPr>
                    <w:rPr>
                      <w:rFonts w:ascii="Times New Roman" w:hAnsi="Times New Roman"/>
                      <w:kern w:val="2"/>
                      <w:sz w:val="20"/>
                      <w:szCs w:val="20"/>
                    </w:rPr>
                  </w:pPr>
                  <w:r>
                    <w:rPr>
                      <w:rFonts w:ascii="Times New Roman" w:hAnsi="Times New Roman"/>
                      <w:b w:val="0"/>
                      <w:bCs w:val="0"/>
                      <w:kern w:val="2"/>
                      <w:sz w:val="20"/>
                      <w:szCs w:val="20"/>
                    </w:rPr>
                    <w:t>As a baseline Cell DTX/DRX is activated/deactivated implicitly by RRC signalling, i.e. activated immediately once configured by RRC and deactivated once the RRC configuration is released.</w:t>
                  </w:r>
                  <w:r>
                    <w:rPr>
                      <w:rFonts w:ascii="Times New Roman" w:hAnsi="Times New Roman"/>
                      <w:kern w:val="2"/>
                      <w:sz w:val="20"/>
                      <w:szCs w:val="20"/>
                    </w:rPr>
                    <w:t> </w:t>
                  </w:r>
                </w:p>
              </w:tc>
            </w:tr>
          </w:tbl>
          <w:p>
            <w:pPr>
              <w:rPr>
                <w:rFonts w:ascii="Times New Roman" w:hAnsi="Times New Roman"/>
              </w:rPr>
            </w:pPr>
            <w:r>
              <w:rPr>
                <w:rFonts w:ascii="Times New Roman" w:hAnsi="Times New Roman"/>
              </w:rPr>
              <w:t xml:space="preserve"> </w:t>
            </w:r>
          </w:p>
          <w:p>
            <w:pPr>
              <w:rPr>
                <w:rFonts w:ascii="Times New Roman" w:hAnsi="Times New Roman"/>
              </w:rPr>
            </w:pPr>
            <w:r>
              <w:rPr>
                <w:rFonts w:ascii="Times New Roman" w:hAnsi="Times New Roman"/>
              </w:rPr>
              <w:t xml:space="preserve">In addition to the agreed dedicated RRC signalling also L1 and L2 is considered for Cell DTX/DRX activation/deactivation. For L1 signalling, if found feasible and beneficial by RAN1, it is currently left open whether dedicated or group common L1 signalling would be utilised (no consensus was reached in RAN2). L2 is currently used for UE C-DRX operation, but it cannot be common. </w:t>
            </w:r>
          </w:p>
          <w:p>
            <w:pPr>
              <w:rPr>
                <w:rFonts w:ascii="Times New Roman" w:hAnsi="Times New Roman"/>
              </w:rPr>
            </w:pPr>
            <w:r>
              <w:rPr>
                <w:rFonts w:ascii="Times New Roman" w:hAnsi="Times New Roman"/>
              </w:rPr>
              <w:t>From RAN2 point of view, majority of companies see a benefit with L1 signalling for Cell DTX/DRX activation/deactivation. From some proponent companies’ perspective the key benefits being:</w:t>
            </w:r>
          </w:p>
          <w:p>
            <w:pPr>
              <w:pStyle w:val="70"/>
              <w:numPr>
                <w:ilvl w:val="0"/>
                <w:numId w:val="8"/>
              </w:numPr>
              <w:rPr>
                <w:rFonts w:ascii="Times New Roman" w:hAnsi="Times New Roman" w:eastAsia="Times New Roman"/>
                <w:sz w:val="20"/>
                <w:szCs w:val="20"/>
              </w:rPr>
            </w:pPr>
            <w:r>
              <w:rPr>
                <w:rFonts w:ascii="Times New Roman" w:hAnsi="Times New Roman" w:eastAsia="Times New Roman"/>
                <w:sz w:val="20"/>
                <w:szCs w:val="20"/>
              </w:rPr>
              <w:t xml:space="preserve">Reduced signalling overhead caused by multiple dedicated RRC messages (group common signalling) </w:t>
            </w:r>
          </w:p>
          <w:p>
            <w:pPr>
              <w:pStyle w:val="70"/>
              <w:numPr>
                <w:ilvl w:val="0"/>
                <w:numId w:val="8"/>
              </w:numPr>
              <w:rPr>
                <w:rFonts w:ascii="Times New Roman" w:hAnsi="Times New Roman" w:eastAsia="Times New Roman"/>
                <w:sz w:val="20"/>
                <w:szCs w:val="20"/>
              </w:rPr>
            </w:pPr>
            <w:r>
              <w:rPr>
                <w:rFonts w:ascii="Times New Roman" w:hAnsi="Times New Roman" w:eastAsia="Times New Roman"/>
                <w:sz w:val="20"/>
                <w:szCs w:val="20"/>
              </w:rPr>
              <w:t>More dynamic changing than RRC signalling (however, RAN2 did not evaluate the network energy saving gain by reducing the latency of activation/deactivation with L1 signalling for more dynamic changing)</w:t>
            </w:r>
          </w:p>
          <w:p>
            <w:pPr>
              <w:rPr>
                <w:rFonts w:ascii="Times New Roman" w:hAnsi="Times New Roman"/>
              </w:rPr>
            </w:pPr>
            <w:r>
              <w:rPr>
                <w:rFonts w:ascii="Times New Roman" w:hAnsi="Times New Roman"/>
              </w:rPr>
              <w:t xml:space="preserve">RAN2 kindly requests RAN1 to provide information regarding </w:t>
            </w:r>
            <w:r>
              <w:rPr>
                <w:rFonts w:ascii="Times New Roman" w:hAnsi="Times New Roman"/>
                <w:b/>
                <w:bCs/>
              </w:rPr>
              <w:t>feasibility and reliability</w:t>
            </w:r>
            <w:r>
              <w:rPr>
                <w:rFonts w:ascii="Times New Roman" w:hAnsi="Times New Roman"/>
              </w:rPr>
              <w:t xml:space="preserve"> of using dedicated and group common L1 signalling for Cell DTX/DRX activation and deactivation. Our question is related only to Cell DTX/DRX activation and deactivation and we would like to focus on a single Cell DTX/DRX configuration, as agreed in our previous meeting. </w:t>
            </w:r>
          </w:p>
          <w:p>
            <w:pPr>
              <w:rPr>
                <w:rFonts w:ascii="Times New Roman" w:hAnsi="Times New Roman" w:eastAsiaTheme="minorEastAsia"/>
              </w:rPr>
            </w:pPr>
            <w:r>
              <w:rPr>
                <w:rFonts w:ascii="Times New Roman" w:hAnsi="Times New Roman"/>
              </w:rPr>
              <w:t xml:space="preserve">Once L1 signalling for activation and deactivation of Cell DTX/DRX for a single configuration is decided in RAN1 please inform us about </w:t>
            </w:r>
            <w:r>
              <w:rPr>
                <w:rFonts w:ascii="Times New Roman" w:hAnsi="Times New Roman"/>
                <w:b/>
              </w:rPr>
              <w:t xml:space="preserve">the </w:t>
            </w:r>
            <w:r>
              <w:rPr>
                <w:rFonts w:ascii="Times New Roman" w:hAnsi="Times New Roman"/>
                <w:b/>
                <w:bCs/>
              </w:rPr>
              <w:t>decision and</w:t>
            </w:r>
            <w:r>
              <w:rPr>
                <w:rFonts w:ascii="Times New Roman" w:hAnsi="Times New Roman"/>
                <w:b/>
              </w:rPr>
              <w:t xml:space="preserve"> </w:t>
            </w:r>
            <w:r>
              <w:rPr>
                <w:rFonts w:ascii="Times New Roman" w:hAnsi="Times New Roman"/>
                <w:b/>
                <w:bCs/>
              </w:rPr>
              <w:t>design details</w:t>
            </w:r>
            <w:r>
              <w:rPr>
                <w:rFonts w:ascii="Times New Roman" w:hAnsi="Times New Roman"/>
                <w:b/>
              </w:rPr>
              <w:t xml:space="preserve">. </w:t>
            </w:r>
          </w:p>
        </w:tc>
      </w:tr>
    </w:tbl>
    <w:p>
      <w:pPr>
        <w:rPr>
          <w:rFonts w:eastAsia="宋体"/>
          <w:lang w:val="en-US" w:eastAsia="zh-CN"/>
        </w:rPr>
      </w:pPr>
    </w:p>
    <w:p>
      <w:pPr>
        <w:rPr>
          <w:rFonts w:eastAsia="宋体"/>
          <w:lang w:val="en-US" w:eastAsia="zh-CN"/>
        </w:rPr>
      </w:pPr>
      <w:r>
        <w:rPr>
          <w:rFonts w:hint="eastAsia" w:eastAsia="宋体"/>
          <w:lang w:val="en-US" w:eastAsia="zh-CN"/>
        </w:rPr>
        <w:t xml:space="preserve">In this document, we </w:t>
      </w:r>
      <w:r>
        <w:rPr>
          <w:rFonts w:eastAsia="宋体"/>
          <w:lang w:val="en-US" w:eastAsia="zh-CN"/>
        </w:rPr>
        <w:t>provide our views</w:t>
      </w:r>
      <w:r>
        <w:rPr>
          <w:rFonts w:hint="eastAsia" w:eastAsia="宋体"/>
          <w:lang w:val="en-US" w:eastAsia="zh-CN"/>
        </w:rPr>
        <w:t xml:space="preserve"> on this issue.</w:t>
      </w:r>
    </w:p>
    <w:p>
      <w:pPr>
        <w:pStyle w:val="2"/>
        <w:rPr>
          <w:lang w:val="en-US"/>
        </w:rPr>
      </w:pPr>
      <w:r>
        <w:rPr>
          <w:lang w:val="en-US"/>
        </w:rPr>
        <w:t>2</w:t>
      </w:r>
      <w:r>
        <w:rPr>
          <w:lang w:val="en-US"/>
        </w:rPr>
        <w:tab/>
      </w:r>
      <w:r>
        <w:rPr>
          <w:lang w:val="en-US"/>
        </w:rPr>
        <w:t>Discussion</w:t>
      </w:r>
    </w:p>
    <w:p>
      <w:pPr>
        <w:spacing w:before="120" w:after="120"/>
        <w:jc w:val="both"/>
        <w:rPr>
          <w:rFonts w:eastAsiaTheme="minorEastAsia"/>
          <w:szCs w:val="21"/>
          <w:lang w:bidi="ar"/>
        </w:rPr>
      </w:pPr>
      <w:r>
        <w:rPr>
          <w:rFonts w:hint="eastAsia"/>
          <w:szCs w:val="21"/>
          <w:lang w:eastAsia="zh-CN"/>
        </w:rPr>
        <w:t>B</w:t>
      </w:r>
      <w:r>
        <w:rPr>
          <w:szCs w:val="21"/>
        </w:rPr>
        <w:t xml:space="preserve">ased on </w:t>
      </w:r>
      <w:r>
        <w:rPr>
          <w:rFonts w:hint="eastAsia"/>
          <w:szCs w:val="21"/>
          <w:lang w:val="en-US" w:eastAsia="zh-CN"/>
        </w:rPr>
        <w:t>RAN2</w:t>
      </w:r>
      <w:r>
        <w:rPr>
          <w:szCs w:val="21"/>
          <w:lang w:val="en-US" w:eastAsia="zh-CN"/>
        </w:rPr>
        <w:t>’</w:t>
      </w:r>
      <w:r>
        <w:rPr>
          <w:rFonts w:hint="eastAsia"/>
          <w:szCs w:val="21"/>
          <w:lang w:val="en-US" w:eastAsia="zh-CN"/>
        </w:rPr>
        <w:t>s agreements</w:t>
      </w:r>
      <w:r>
        <w:rPr>
          <w:szCs w:val="21"/>
        </w:rPr>
        <w:t xml:space="preserve"> [2]</w:t>
      </w:r>
      <w:r>
        <w:rPr>
          <w:rFonts w:hint="eastAsia"/>
          <w:szCs w:val="21"/>
          <w:lang w:val="en-US" w:eastAsia="zh-CN"/>
        </w:rPr>
        <w:t xml:space="preserve">, a </w:t>
      </w:r>
      <w:r>
        <w:rPr>
          <w:rFonts w:hint="eastAsia"/>
          <w:szCs w:val="21"/>
          <w:lang w:bidi="ar"/>
        </w:rPr>
        <w:t xml:space="preserve">periodic cell DTX/DRX pattern is configured by RRC and the parameters configured per cell DTX/DRX configuration include at least </w:t>
      </w:r>
      <w:r>
        <w:t>periodicity, start slot/offset</w:t>
      </w:r>
      <w:r>
        <w:rPr>
          <w:rFonts w:hint="eastAsia"/>
        </w:rPr>
        <w:t xml:space="preserve"> and on duration</w:t>
      </w:r>
      <w:r>
        <w:rPr>
          <w:rFonts w:hint="eastAsia"/>
          <w:szCs w:val="21"/>
          <w:lang w:bidi="ar"/>
        </w:rPr>
        <w:t xml:space="preserve">. In 5G system, </w:t>
      </w:r>
      <w:r>
        <w:t xml:space="preserve">more advanced </w:t>
      </w:r>
      <w:r>
        <w:rPr>
          <w:rFonts w:hint="eastAsia"/>
        </w:rPr>
        <w:t xml:space="preserve">and diverse </w:t>
      </w:r>
      <w:r>
        <w:t xml:space="preserve">services and applications </w:t>
      </w:r>
      <w:r>
        <w:rPr>
          <w:rFonts w:hint="eastAsia"/>
        </w:rPr>
        <w:t xml:space="preserve">are handled. </w:t>
      </w:r>
      <w:bookmarkStart w:id="0" w:name="OLE_LINK2"/>
      <w:r>
        <w:rPr>
          <w:rFonts w:hint="eastAsia"/>
        </w:rPr>
        <w:t>A</w:t>
      </w:r>
      <w:r>
        <w:rPr>
          <w:rFonts w:hint="eastAsia"/>
          <w:szCs w:val="21"/>
          <w:lang w:bidi="ar"/>
        </w:rPr>
        <w:t xml:space="preserve"> semi-static configuration of cell DTX/DRX pattern may not be suitable for various traffic models and not beneficial for the network energy savings when UE is suffered from time-intensive traffic.</w:t>
      </w:r>
      <w:bookmarkEnd w:id="0"/>
      <w:r>
        <w:rPr>
          <w:rFonts w:hint="eastAsia"/>
          <w:szCs w:val="21"/>
          <w:lang w:bidi="ar"/>
        </w:rPr>
        <w:t xml:space="preserve"> Therefore, it is proposed that L1 signaling is </w:t>
      </w:r>
      <w:r>
        <w:rPr>
          <w:szCs w:val="21"/>
          <w:lang w:bidi="ar"/>
        </w:rPr>
        <w:t xml:space="preserve">beneficial for </w:t>
      </w:r>
      <w:r>
        <w:rPr>
          <w:rFonts w:eastAsia="等线"/>
          <w:szCs w:val="21"/>
          <w:lang w:eastAsia="zh-CN" w:bidi="ar"/>
        </w:rPr>
        <w:t xml:space="preserve">NES </w:t>
      </w:r>
      <w:r>
        <w:rPr>
          <w:szCs w:val="21"/>
          <w:lang w:bidi="ar"/>
        </w:rPr>
        <w:t>and dynamic adaptation to flexible services.</w:t>
      </w:r>
      <w:r>
        <w:rPr>
          <w:szCs w:val="21"/>
          <w:lang w:val="en-US" w:eastAsia="zh-CN" w:bidi="ar"/>
        </w:rPr>
        <w:t xml:space="preserve"> </w:t>
      </w:r>
    </w:p>
    <w:p>
      <w:pPr>
        <w:pStyle w:val="73"/>
        <w:tabs>
          <w:tab w:val="clear" w:pos="420"/>
          <w:tab w:val="clear" w:pos="4820"/>
        </w:tabs>
        <w:adjustRightInd w:val="0"/>
        <w:snapToGrid w:val="0"/>
        <w:spacing w:before="120" w:after="120"/>
        <w:ind w:left="0"/>
        <w:rPr>
          <w:lang w:bidi="ar"/>
        </w:rPr>
      </w:pPr>
      <w:bookmarkStart w:id="1" w:name="_Toc127551668"/>
      <w:bookmarkStart w:id="2" w:name="_Toc22439"/>
      <w:bookmarkStart w:id="3" w:name="_Toc19452"/>
      <w:r>
        <w:rPr>
          <w:rFonts w:hint="eastAsia"/>
          <w:lang w:val="en-US" w:eastAsia="zh-CN"/>
        </w:rPr>
        <w:t>A</w:t>
      </w:r>
      <w:r>
        <w:rPr>
          <w:rFonts w:hint="eastAsia"/>
          <w:lang w:val="en-US" w:eastAsia="zh-CN" w:bidi="ar"/>
        </w:rPr>
        <w:t xml:space="preserve"> semi-static configuration of cell DTX/DRX pattern may not be suitable for various traffic models and not beneficial for the network energy savings when UE is suffered from time-intensive traffic.</w:t>
      </w:r>
      <w:bookmarkEnd w:id="1"/>
      <w:bookmarkEnd w:id="2"/>
      <w:bookmarkEnd w:id="3"/>
    </w:p>
    <w:p>
      <w:pPr>
        <w:spacing w:before="120" w:after="120"/>
        <w:jc w:val="both"/>
        <w:rPr>
          <w:lang w:bidi="ar"/>
        </w:rPr>
      </w:pPr>
      <w:r>
        <w:rPr>
          <w:rFonts w:hint="eastAsia"/>
          <w:lang w:bidi="ar"/>
        </w:rPr>
        <w:t>I</w:t>
      </w:r>
      <w:r>
        <w:rPr>
          <w:lang w:bidi="ar"/>
        </w:rPr>
        <w:t xml:space="preserve">n RAN1#112bis, the following WA was agreed. The mechanism of cell DTX/DRX activation/de-activation is similar with the wake-up indication carried by DCI format 2-6 or DCI format 2-7. Therefore, the feasibility has been verified by the legacy solutions. </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The</w:t>
      </w:r>
      <w:r>
        <w:rPr>
          <w:lang w:val="en-US" w:eastAsia="zh-CN" w:bidi="ar"/>
        </w:rPr>
        <w:t xml:space="preserve"> </w:t>
      </w:r>
      <w:r>
        <w:rPr>
          <w:rFonts w:eastAsia="等线"/>
          <w:lang w:val="en-US" w:eastAsia="zh-CN" w:bidi="ar"/>
        </w:rPr>
        <w:t xml:space="preserve">feasibility </w:t>
      </w:r>
      <w:r>
        <w:rPr>
          <w:lang w:bidi="ar"/>
        </w:rPr>
        <w:t xml:space="preserve">of L1 based </w:t>
      </w:r>
      <w:r>
        <w:rPr>
          <w:rFonts w:eastAsia="Malgun Gothic"/>
          <w:lang w:eastAsia="ko-KR"/>
        </w:rPr>
        <w:t>cell DTX and/or DRX</w:t>
      </w:r>
      <w:r>
        <w:rPr>
          <w:lang w:bidi="ar"/>
        </w:rPr>
        <w:t xml:space="preserve"> </w:t>
      </w:r>
      <w:r>
        <w:rPr>
          <w:rFonts w:eastAsia="Malgun Gothic"/>
          <w:lang w:eastAsia="ko-KR"/>
        </w:rPr>
        <w:t>activation/deactivation</w:t>
      </w:r>
      <w:r>
        <w:rPr>
          <w:lang w:bidi="ar"/>
        </w:rPr>
        <w:t xml:space="preserve"> has been verified by the legacy DCI format 2-6 and DCI format 2-7</w:t>
      </w:r>
      <w:r>
        <w:rPr>
          <w:rFonts w:eastAsia="Malgun Gothic"/>
          <w:lang w:eastAsia="ko-KR"/>
        </w:rPr>
        <w:t>.</w:t>
      </w:r>
    </w:p>
    <w:p>
      <w:pPr>
        <w:spacing w:before="120" w:after="120"/>
        <w:jc w:val="both"/>
        <w:rPr>
          <w:rFonts w:eastAsia="Malgun Gothic"/>
          <w:szCs w:val="21"/>
          <w:lang w:eastAsia="ko-KR"/>
        </w:rPr>
      </w:pPr>
      <w:r>
        <w:rPr>
          <w:rFonts w:hint="eastAsia"/>
          <w:lang w:bidi="ar"/>
        </w:rPr>
        <w:t>R</w:t>
      </w:r>
      <w:r>
        <w:rPr>
          <w:lang w:bidi="ar"/>
        </w:rPr>
        <w:t>egarding the reliability issue, the L1 based indication has been widely used in the scenarios with stringent reliability requirements such UR</w:t>
      </w:r>
      <w:r>
        <w:rPr>
          <w:rFonts w:hint="eastAsia"/>
          <w:lang w:eastAsia="zh-CN" w:bidi="ar"/>
        </w:rPr>
        <w:t>LLC</w:t>
      </w:r>
      <w:r>
        <w:rPr>
          <w:lang w:bidi="ar"/>
        </w:rPr>
        <w:t xml:space="preserve"> and XR. While for NES purpose, the reliability target is far less than those traffic types. Therefore, the reliability of L1 based </w:t>
      </w:r>
      <w:r>
        <w:rPr>
          <w:rFonts w:eastAsia="Malgun Gothic"/>
          <w:szCs w:val="21"/>
          <w:lang w:eastAsia="ko-KR"/>
        </w:rPr>
        <w:t>cell DTX and/or DRX</w:t>
      </w:r>
      <w:r>
        <w:rPr>
          <w:lang w:bidi="ar"/>
        </w:rPr>
        <w:t xml:space="preserve"> </w:t>
      </w:r>
      <w:r>
        <w:rPr>
          <w:rFonts w:eastAsia="Malgun Gothic"/>
          <w:szCs w:val="21"/>
          <w:lang w:eastAsia="ko-KR"/>
        </w:rPr>
        <w:t>activation/deactivation can be guaranteed by, for example, allocat</w:t>
      </w:r>
      <w:r>
        <w:rPr>
          <w:rFonts w:hint="eastAsia" w:eastAsia="宋体"/>
          <w:szCs w:val="21"/>
          <w:lang w:val="en-US" w:eastAsia="zh-CN"/>
        </w:rPr>
        <w:t>ing</w:t>
      </w:r>
      <w:r>
        <w:rPr>
          <w:rFonts w:eastAsia="Malgun Gothic"/>
          <w:szCs w:val="21"/>
          <w:lang w:eastAsia="ko-KR"/>
        </w:rPr>
        <w:t xml:space="preserve"> a large aggregation level.</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The</w:t>
      </w:r>
      <w:r>
        <w:rPr>
          <w:rFonts w:hint="eastAsia"/>
          <w:lang w:val="en-US" w:eastAsia="zh-CN" w:bidi="ar"/>
        </w:rPr>
        <w:t xml:space="preserve"> </w:t>
      </w:r>
      <w:r>
        <w:rPr>
          <w:lang w:bidi="ar"/>
        </w:rPr>
        <w:t xml:space="preserve">reliability of L1 based </w:t>
      </w:r>
      <w:r>
        <w:rPr>
          <w:rFonts w:eastAsia="Malgun Gothic"/>
          <w:lang w:eastAsia="ko-KR"/>
        </w:rPr>
        <w:t>cell DTX and/or DRX</w:t>
      </w:r>
      <w:r>
        <w:rPr>
          <w:lang w:bidi="ar"/>
        </w:rPr>
        <w:t xml:space="preserve"> </w:t>
      </w:r>
      <w:r>
        <w:rPr>
          <w:rFonts w:eastAsia="Malgun Gothic"/>
          <w:lang w:eastAsia="ko-KR"/>
        </w:rPr>
        <w:t>activation/deactivation can be guaranteed by, for example, allocat</w:t>
      </w:r>
      <w:r>
        <w:rPr>
          <w:rFonts w:hint="eastAsia" w:eastAsia="宋体"/>
          <w:lang w:val="en-US" w:eastAsia="zh-CN"/>
        </w:rPr>
        <w:t>ing</w:t>
      </w:r>
      <w:r>
        <w:rPr>
          <w:rFonts w:eastAsia="Malgun Gothic"/>
          <w:lang w:eastAsia="ko-KR"/>
        </w:rPr>
        <w:t xml:space="preserve"> a large aggregation level.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ascii="Times New Roman" w:hAnsi="Times New Roman"/>
                <w:szCs w:val="21"/>
                <w:highlight w:val="darkYellow"/>
              </w:rPr>
            </w:pPr>
            <w:r>
              <w:rPr>
                <w:rFonts w:ascii="Times New Roman" w:hAnsi="Times New Roman"/>
                <w:szCs w:val="21"/>
                <w:highlight w:val="darkYellow"/>
                <w:lang w:eastAsia="zh-CN"/>
              </w:rPr>
              <w:t>Working Assumption</w:t>
            </w:r>
          </w:p>
          <w:p>
            <w:pPr>
              <w:suppressAutoHyphens/>
              <w:spacing w:before="120" w:after="120"/>
              <w:rPr>
                <w:rFonts w:ascii="Times New Roman" w:hAnsi="Times New Roman"/>
                <w:szCs w:val="21"/>
              </w:rPr>
            </w:pPr>
            <w:r>
              <w:rPr>
                <w:rFonts w:ascii="Times New Roman" w:hAnsi="Times New Roman" w:eastAsia="Malgun Gothic"/>
                <w:szCs w:val="21"/>
                <w:lang w:eastAsia="ko-KR"/>
              </w:rPr>
              <w:t>Support of L1 signaling at least for activation/deactivation of a cell DTX and/or DRX configuration is feasible (e.g., in terms of enabling/disenabling the feature) from RAN1 perspective.</w:t>
            </w:r>
          </w:p>
          <w:p>
            <w:pPr>
              <w:numPr>
                <w:ilvl w:val="0"/>
                <w:numId w:val="9"/>
              </w:numPr>
              <w:tabs>
                <w:tab w:val="left" w:pos="1417"/>
              </w:tabs>
              <w:suppressAutoHyphens/>
              <w:autoSpaceDE/>
              <w:autoSpaceDN/>
              <w:adjustRightInd/>
              <w:spacing w:before="120" w:beforeLines="50" w:after="120" w:afterLines="50"/>
              <w:jc w:val="both"/>
              <w:textAlignment w:val="auto"/>
              <w:rPr>
                <w:rFonts w:ascii="Times New Roman" w:hAnsi="Times New Roman"/>
                <w:szCs w:val="21"/>
              </w:rPr>
            </w:pPr>
            <w:r>
              <w:rPr>
                <w:rFonts w:ascii="Times New Roman" w:hAnsi="Times New Roman" w:eastAsia="宋体"/>
                <w:szCs w:val="21"/>
                <w:lang w:eastAsia="zh-CN"/>
              </w:rPr>
              <w:t>This does not imply that L1 activation/deactivation is supported in Rel-18</w:t>
            </w:r>
          </w:p>
          <w:p>
            <w:pPr>
              <w:numPr>
                <w:ilvl w:val="0"/>
                <w:numId w:val="9"/>
              </w:numPr>
              <w:tabs>
                <w:tab w:val="left" w:pos="1417"/>
              </w:tabs>
              <w:suppressAutoHyphens/>
              <w:autoSpaceDE/>
              <w:autoSpaceDN/>
              <w:adjustRightInd/>
              <w:spacing w:before="120" w:beforeLines="50" w:after="120" w:afterLines="50"/>
              <w:jc w:val="both"/>
              <w:textAlignment w:val="auto"/>
              <w:rPr>
                <w:rFonts w:ascii="Times New Roman" w:hAnsi="Times New Roman"/>
                <w:szCs w:val="21"/>
              </w:rPr>
            </w:pPr>
            <w:r>
              <w:rPr>
                <w:rFonts w:ascii="Times New Roman" w:hAnsi="Times New Roman" w:eastAsia="宋体"/>
                <w:szCs w:val="21"/>
                <w:lang w:eastAsia="zh-CN"/>
              </w:rPr>
              <w:t>Note: Reliability, overhead, and benefits are FFS</w:t>
            </w:r>
          </w:p>
        </w:tc>
      </w:tr>
    </w:tbl>
    <w:p>
      <w:pPr>
        <w:jc w:val="both"/>
        <w:rPr>
          <w:rFonts w:eastAsia="等线"/>
          <w:lang w:eastAsia="zh-CN"/>
        </w:rPr>
      </w:pPr>
    </w:p>
    <w:p>
      <w:pPr>
        <w:spacing w:before="120" w:after="120"/>
        <w:jc w:val="both"/>
      </w:pPr>
      <w:r>
        <w:rPr>
          <w:rFonts w:hint="eastAsia"/>
        </w:rPr>
        <w:t>It</w:t>
      </w:r>
      <w:r>
        <w:t>’</w:t>
      </w:r>
      <w:r>
        <w:rPr>
          <w:rFonts w:hint="eastAsia"/>
        </w:rPr>
        <w:t xml:space="preserve">s worth noting that the overhead is large if the UE-specific L1 signaling is used to indicate </w:t>
      </w:r>
      <w:bookmarkStart w:id="4" w:name="OLE_LINK4"/>
      <w:r>
        <w:rPr>
          <w:rFonts w:hint="eastAsia"/>
        </w:rPr>
        <w:t>cell DTX/DRX</w:t>
      </w:r>
      <w:bookmarkEnd w:id="4"/>
      <w:r>
        <w:rPr>
          <w:rFonts w:hint="eastAsia"/>
        </w:rPr>
        <w:t xml:space="preserve"> indication information because gNB needs to sen</w:t>
      </w:r>
      <w:r>
        <w:t>d</w:t>
      </w:r>
      <w:r>
        <w:rPr>
          <w:rFonts w:hint="eastAsia"/>
        </w:rPr>
        <w:t xml:space="preserve"> a </w:t>
      </w:r>
      <w:r>
        <w:t>dedicated</w:t>
      </w:r>
      <w:r>
        <w:rPr>
          <w:rFonts w:hint="eastAsia"/>
        </w:rPr>
        <w:t xml:space="preserve"> L1 signaling to each UE for a cell-level DTX/DRX indication in a cell. Therefore, group-common signaling </w:t>
      </w:r>
      <w:r>
        <w:t xml:space="preserve">can be considered </w:t>
      </w:r>
      <w:r>
        <w:rPr>
          <w:rFonts w:hint="eastAsia"/>
          <w:lang w:bidi="ar"/>
        </w:rPr>
        <w:t>for cell DTX/DRX indication information</w:t>
      </w:r>
      <w:r>
        <w:rPr>
          <w:lang w:bidi="ar"/>
        </w:rPr>
        <w:t xml:space="preserve"> to reduce overhead</w:t>
      </w:r>
      <w:r>
        <w:rPr>
          <w:rFonts w:hint="eastAsia"/>
        </w:rPr>
        <w:t>.</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G</w:t>
      </w:r>
      <w:r>
        <w:rPr>
          <w:rFonts w:eastAsia="Malgun Gothic"/>
          <w:lang w:eastAsia="ko-KR"/>
        </w:rPr>
        <w:t xml:space="preserve">roup-common signaling can be considered for cell DTX/DRX </w:t>
      </w:r>
      <w:r>
        <w:rPr>
          <w:rFonts w:eastAsia="宋体"/>
          <w:lang w:eastAsia="zh-CN"/>
        </w:rPr>
        <w:t>activation/deactivation</w:t>
      </w:r>
      <w:r>
        <w:rPr>
          <w:rFonts w:eastAsia="Malgun Gothic"/>
          <w:lang w:eastAsia="ko-KR"/>
        </w:rPr>
        <w:t xml:space="preserve"> information to reduce overhead.</w:t>
      </w:r>
    </w:p>
    <w:p>
      <w:pPr>
        <w:jc w:val="both"/>
        <w:rPr>
          <w:rFonts w:eastAsia="等线"/>
          <w:lang w:eastAsia="zh-CN"/>
        </w:rPr>
      </w:pPr>
      <w:r>
        <w:rPr>
          <w:rFonts w:eastAsia="等线"/>
          <w:lang w:eastAsia="zh-CN"/>
        </w:rPr>
        <w:t>Based on the discussion above, we propose the following reply to RAN2 LS.</w:t>
      </w:r>
    </w:p>
    <w:p>
      <w:pPr>
        <w:pStyle w:val="27"/>
        <w:rPr>
          <w:rFonts w:hint="default" w:ascii="Times New Roman" w:hAnsi="Times New Roman" w:eastAsia="等线" w:cs="Times New Roman"/>
        </w:rPr>
      </w:pPr>
      <w:bookmarkStart w:id="5" w:name="_GoBack"/>
      <w:r>
        <w:rPr>
          <w:rFonts w:hint="default" w:ascii="Times New Roman" w:hAnsi="Times New Roman" w:eastAsia="等线" w:cs="Times New Roman"/>
        </w:rPr>
        <w:t>Send the following reply to RAN2 LS.</w:t>
      </w:r>
    </w:p>
    <w:bookmarkEnd w:id="5"/>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1417"/>
              </w:tabs>
              <w:suppressAutoHyphens/>
              <w:autoSpaceDE/>
              <w:autoSpaceDN/>
              <w:adjustRightInd/>
              <w:spacing w:before="120" w:beforeLines="50" w:after="120" w:afterLines="50"/>
              <w:jc w:val="both"/>
              <w:textAlignment w:val="auto"/>
              <w:rPr>
                <w:rFonts w:ascii="Times New Roman" w:hAnsi="Times New Roman" w:eastAsia="宋体"/>
                <w:lang w:eastAsia="zh-CN"/>
              </w:rPr>
            </w:pPr>
            <w:r>
              <w:rPr>
                <w:rFonts w:ascii="Times New Roman" w:hAnsi="Times New Roman"/>
                <w:lang w:eastAsia="zh-CN"/>
              </w:rPr>
              <w:t xml:space="preserve">RAN1 would like to thank RAN2 for LS about L1 based </w:t>
            </w:r>
            <w:r>
              <w:rPr>
                <w:rFonts w:ascii="Times New Roman" w:hAnsi="Times New Roman" w:eastAsia="Malgun Gothic"/>
                <w:lang w:eastAsia="ko-KR"/>
              </w:rPr>
              <w:t xml:space="preserve">cell DTX/DRX </w:t>
            </w:r>
            <w:r>
              <w:rPr>
                <w:rFonts w:ascii="Times New Roman" w:hAnsi="Times New Roman" w:eastAsia="宋体"/>
                <w:lang w:eastAsia="zh-CN"/>
              </w:rPr>
              <w:t>activation/deactivation. RAN1’s conclusion is as below.</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A dynamic indication of cell DTX/DRX activation/deactivation is beneficial for the network energy savings when UE is suffered from time-intensive traffic.</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The feasibility of L1 based cell DTX and/or DRX activation/deactivation has been verified by the legacy DCI format 2-6 and DCI format 2-7.</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The reliability of L1 based cell DTX and/or DRX activation/deactivation can be guaranteed by, for example, allocate a large aggregation level.</w:t>
            </w:r>
          </w:p>
          <w:p>
            <w:pPr>
              <w:pStyle w:val="32"/>
              <w:numPr>
                <w:ilvl w:val="0"/>
                <w:numId w:val="10"/>
              </w:numPr>
              <w:tabs>
                <w:tab w:val="left" w:pos="1417"/>
              </w:tabs>
              <w:suppressAutoHyphens/>
              <w:spacing w:before="120" w:beforeLines="50" w:after="120" w:afterLines="50"/>
              <w:jc w:val="both"/>
              <w:rPr>
                <w:rFonts w:ascii="Times New Roman" w:hAnsi="Times New Roman" w:eastAsia="等线"/>
                <w:lang w:val="en-GB" w:eastAsia="zh-CN"/>
              </w:rPr>
            </w:pPr>
            <w:r>
              <w:rPr>
                <w:rFonts w:ascii="Times New Roman" w:hAnsi="Times New Roman" w:eastAsia="等线"/>
                <w:sz w:val="20"/>
                <w:szCs w:val="20"/>
                <w:lang w:eastAsia="zh-CN"/>
              </w:rPr>
              <w:t>Group-common signaling can be considered for cell DTX/DRX activation/deactivation information to reduce overhead.</w:t>
            </w:r>
          </w:p>
        </w:tc>
      </w:tr>
    </w:tbl>
    <w:p>
      <w:pPr>
        <w:jc w:val="both"/>
        <w:rPr>
          <w:rFonts w:eastAsia="等线"/>
          <w:lang w:eastAsia="zh-CN"/>
        </w:rPr>
      </w:pPr>
    </w:p>
    <w:p>
      <w:pPr>
        <w:pStyle w:val="2"/>
        <w:ind w:left="0" w:firstLine="0"/>
      </w:pPr>
      <w:r>
        <w:rPr>
          <w:lang w:val="en-US"/>
        </w:rPr>
        <w:t>3</w:t>
      </w:r>
      <w:r>
        <w:tab/>
      </w:r>
      <w:r>
        <w:t>Conclusion</w:t>
      </w:r>
    </w:p>
    <w:p>
      <w:pPr>
        <w:pStyle w:val="9"/>
        <w:rPr>
          <w:rFonts w:ascii="Times New Roman" w:hAnsi="Times New Roman"/>
        </w:rPr>
      </w:pPr>
      <w:r>
        <w:rPr>
          <w:rFonts w:ascii="Times New Roman" w:hAnsi="Times New Roman"/>
        </w:rPr>
        <w:t>Based on the discussion in the previous section, we have the following observations and proposal.</w:t>
      </w:r>
    </w:p>
    <w:p>
      <w:pPr>
        <w:pStyle w:val="73"/>
        <w:numPr>
          <w:ilvl w:val="0"/>
          <w:numId w:val="11"/>
        </w:numPr>
        <w:tabs>
          <w:tab w:val="clear" w:pos="420"/>
          <w:tab w:val="clear" w:pos="4820"/>
        </w:tabs>
        <w:adjustRightInd w:val="0"/>
        <w:snapToGrid w:val="0"/>
        <w:spacing w:before="120" w:after="120"/>
        <w:ind w:left="0"/>
        <w:rPr>
          <w:lang w:bidi="ar"/>
        </w:rPr>
      </w:pPr>
      <w:r>
        <w:rPr>
          <w:lang w:val="en-US" w:eastAsia="zh-CN"/>
        </w:rPr>
        <w:t>A</w:t>
      </w:r>
      <w:r>
        <w:rPr>
          <w:lang w:val="en-US" w:eastAsia="zh-CN" w:bidi="ar"/>
        </w:rPr>
        <w:t xml:space="preserve"> semi-static configuration of cell DTX/DRX pattern may not be suitable for various traffic models and not beneficial for the network energy savings when UE is suffered from time-intensive traffic.</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The</w:t>
      </w:r>
      <w:r>
        <w:rPr>
          <w:lang w:val="en-US" w:eastAsia="zh-CN" w:bidi="ar"/>
        </w:rPr>
        <w:t xml:space="preserve"> </w:t>
      </w:r>
      <w:r>
        <w:rPr>
          <w:rFonts w:eastAsia="等线"/>
          <w:lang w:val="en-US" w:eastAsia="zh-CN" w:bidi="ar"/>
        </w:rPr>
        <w:t xml:space="preserve">feasibility </w:t>
      </w:r>
      <w:r>
        <w:rPr>
          <w:lang w:bidi="ar"/>
        </w:rPr>
        <w:t xml:space="preserve">of L1 based </w:t>
      </w:r>
      <w:r>
        <w:rPr>
          <w:rFonts w:eastAsia="Malgun Gothic"/>
          <w:lang w:eastAsia="ko-KR"/>
        </w:rPr>
        <w:t>cell DTX and/or DRX</w:t>
      </w:r>
      <w:r>
        <w:rPr>
          <w:lang w:bidi="ar"/>
        </w:rPr>
        <w:t xml:space="preserve"> </w:t>
      </w:r>
      <w:r>
        <w:rPr>
          <w:rFonts w:eastAsia="Malgun Gothic"/>
          <w:lang w:eastAsia="ko-KR"/>
        </w:rPr>
        <w:t>activation/deactivation</w:t>
      </w:r>
      <w:r>
        <w:rPr>
          <w:lang w:bidi="ar"/>
        </w:rPr>
        <w:t xml:space="preserve"> has been verified by the legacy DCI format 2-6 and DCI format 2-7</w:t>
      </w:r>
      <w:r>
        <w:rPr>
          <w:rFonts w:eastAsia="Malgun Gothic"/>
          <w:lang w:eastAsia="ko-KR"/>
        </w:rPr>
        <w:t>.</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The</w:t>
      </w:r>
      <w:r>
        <w:rPr>
          <w:lang w:val="en-US" w:eastAsia="zh-CN" w:bidi="ar"/>
        </w:rPr>
        <w:t xml:space="preserve"> </w:t>
      </w:r>
      <w:r>
        <w:rPr>
          <w:lang w:bidi="ar"/>
        </w:rPr>
        <w:t xml:space="preserve">reliability of L1 based </w:t>
      </w:r>
      <w:r>
        <w:rPr>
          <w:rFonts w:eastAsia="Malgun Gothic"/>
          <w:lang w:eastAsia="ko-KR"/>
        </w:rPr>
        <w:t>cell DTX and/or DRX</w:t>
      </w:r>
      <w:r>
        <w:rPr>
          <w:lang w:bidi="ar"/>
        </w:rPr>
        <w:t xml:space="preserve"> </w:t>
      </w:r>
      <w:r>
        <w:rPr>
          <w:rFonts w:eastAsia="Malgun Gothic"/>
          <w:lang w:eastAsia="ko-KR"/>
        </w:rPr>
        <w:t>activation/deactivation can be guaranteed by, for example, allocat</w:t>
      </w:r>
      <w:r>
        <w:rPr>
          <w:rFonts w:hint="eastAsia" w:eastAsia="宋体"/>
          <w:lang w:val="en-US" w:eastAsia="zh-CN"/>
        </w:rPr>
        <w:t>ing</w:t>
      </w:r>
      <w:r>
        <w:rPr>
          <w:rFonts w:eastAsia="Malgun Gothic"/>
          <w:lang w:eastAsia="ko-KR"/>
        </w:rPr>
        <w:t xml:space="preserve"> a large aggregation level.</w:t>
      </w:r>
    </w:p>
    <w:p>
      <w:pPr>
        <w:pStyle w:val="73"/>
        <w:tabs>
          <w:tab w:val="clear" w:pos="420"/>
          <w:tab w:val="clear" w:pos="4820"/>
        </w:tabs>
        <w:adjustRightInd w:val="0"/>
        <w:snapToGrid w:val="0"/>
        <w:spacing w:before="120" w:after="120"/>
        <w:ind w:left="0"/>
        <w:rPr>
          <w:rFonts w:eastAsia="Malgun Gothic"/>
          <w:lang w:eastAsia="ko-KR"/>
        </w:rPr>
      </w:pPr>
      <w:r>
        <w:rPr>
          <w:lang w:val="en-US" w:eastAsia="zh-CN"/>
        </w:rPr>
        <w:t>G</w:t>
      </w:r>
      <w:r>
        <w:rPr>
          <w:rFonts w:eastAsia="Malgun Gothic"/>
          <w:lang w:eastAsia="ko-KR"/>
        </w:rPr>
        <w:t xml:space="preserve">roup-common signaling can be considered for cell DTX/DRX </w:t>
      </w:r>
      <w:r>
        <w:rPr>
          <w:rFonts w:eastAsia="宋体"/>
          <w:lang w:eastAsia="zh-CN"/>
        </w:rPr>
        <w:t>activation/deactivation</w:t>
      </w:r>
      <w:r>
        <w:rPr>
          <w:rFonts w:eastAsia="Malgun Gothic"/>
          <w:lang w:eastAsia="ko-KR"/>
        </w:rPr>
        <w:t xml:space="preserve"> information to reduce overhead.</w:t>
      </w:r>
    </w:p>
    <w:p>
      <w:pPr>
        <w:pStyle w:val="9"/>
        <w:rPr>
          <w:rFonts w:ascii="Times New Roman" w:hAnsi="Times New Roman" w:eastAsia="等线"/>
        </w:rPr>
      </w:pPr>
    </w:p>
    <w:p>
      <w:pPr>
        <w:pStyle w:val="27"/>
        <w:numPr>
          <w:ilvl w:val="0"/>
          <w:numId w:val="12"/>
        </w:numPr>
        <w:rPr>
          <w:rFonts w:ascii="Times New Roman" w:hAnsi="Times New Roman" w:eastAsia="等线"/>
        </w:rPr>
      </w:pPr>
      <w:r>
        <w:rPr>
          <w:rFonts w:ascii="Times New Roman" w:hAnsi="Times New Roman" w:eastAsia="等线"/>
        </w:rPr>
        <w:t>Send the following reply to RAN2 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1417"/>
              </w:tabs>
              <w:suppressAutoHyphens/>
              <w:autoSpaceDE/>
              <w:autoSpaceDN/>
              <w:adjustRightInd/>
              <w:spacing w:before="120" w:beforeLines="50" w:after="120" w:afterLines="50"/>
              <w:jc w:val="both"/>
              <w:textAlignment w:val="auto"/>
              <w:rPr>
                <w:rFonts w:ascii="Times New Roman" w:hAnsi="Times New Roman" w:eastAsia="宋体"/>
                <w:lang w:eastAsia="zh-CN"/>
              </w:rPr>
            </w:pPr>
            <w:r>
              <w:rPr>
                <w:rFonts w:ascii="Times New Roman" w:hAnsi="Times New Roman"/>
                <w:lang w:eastAsia="zh-CN"/>
              </w:rPr>
              <w:t xml:space="preserve">RAN1 would like to thank RAN2 for LS about L1 based </w:t>
            </w:r>
            <w:r>
              <w:rPr>
                <w:rFonts w:ascii="Times New Roman" w:hAnsi="Times New Roman" w:eastAsia="Malgun Gothic"/>
                <w:lang w:eastAsia="ko-KR"/>
              </w:rPr>
              <w:t xml:space="preserve">cell DTX/DRX </w:t>
            </w:r>
            <w:r>
              <w:rPr>
                <w:rFonts w:ascii="Times New Roman" w:hAnsi="Times New Roman" w:eastAsia="宋体"/>
                <w:lang w:eastAsia="zh-CN"/>
              </w:rPr>
              <w:t>activation/deactivation. RAN1’s conclusion is as below.</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A dynamic indication of cell DTX/DRX activation/deactivation is beneficial for the network energy savings when UE is suffered from time-intensive traffic.</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The feasibility of L1 based cell DTX and/or DRX activation/deactivation has been verified by the legacy DCI format 2-6 and DCI format 2-7.</w:t>
            </w:r>
          </w:p>
          <w:p>
            <w:pPr>
              <w:pStyle w:val="32"/>
              <w:numPr>
                <w:ilvl w:val="0"/>
                <w:numId w:val="10"/>
              </w:numPr>
              <w:tabs>
                <w:tab w:val="left" w:pos="1417"/>
              </w:tabs>
              <w:suppressAutoHyphens/>
              <w:spacing w:before="120" w:beforeLines="50" w:after="120" w:afterLines="50"/>
              <w:jc w:val="both"/>
              <w:rPr>
                <w:rFonts w:ascii="Times New Roman" w:hAnsi="Times New Roman" w:eastAsia="等线"/>
                <w:sz w:val="20"/>
                <w:szCs w:val="20"/>
                <w:lang w:eastAsia="zh-CN"/>
              </w:rPr>
            </w:pPr>
            <w:r>
              <w:rPr>
                <w:rFonts w:ascii="Times New Roman" w:hAnsi="Times New Roman" w:eastAsia="等线"/>
                <w:sz w:val="20"/>
                <w:szCs w:val="20"/>
                <w:lang w:eastAsia="zh-CN"/>
              </w:rPr>
              <w:t>The reliability of L1 based cell DTX and/or DRX activation/deactivation can be guaranteed by, for example, allocat</w:t>
            </w:r>
            <w:r>
              <w:rPr>
                <w:rFonts w:hint="eastAsia" w:eastAsia="等线"/>
                <w:sz w:val="20"/>
                <w:szCs w:val="20"/>
                <w:lang w:val="en-US" w:eastAsia="zh-CN"/>
              </w:rPr>
              <w:t>ing</w:t>
            </w:r>
            <w:r>
              <w:rPr>
                <w:rFonts w:ascii="Times New Roman" w:hAnsi="Times New Roman" w:eastAsia="等线"/>
                <w:sz w:val="20"/>
                <w:szCs w:val="20"/>
                <w:lang w:eastAsia="zh-CN"/>
              </w:rPr>
              <w:t xml:space="preserve"> a large aggregation level.</w:t>
            </w:r>
          </w:p>
          <w:p>
            <w:pPr>
              <w:pStyle w:val="32"/>
              <w:numPr>
                <w:ilvl w:val="0"/>
                <w:numId w:val="10"/>
              </w:numPr>
              <w:tabs>
                <w:tab w:val="left" w:pos="1417"/>
              </w:tabs>
              <w:suppressAutoHyphens/>
              <w:spacing w:before="120" w:beforeLines="50" w:after="120" w:afterLines="50"/>
              <w:jc w:val="both"/>
              <w:rPr>
                <w:rFonts w:ascii="Times New Roman" w:hAnsi="Times New Roman" w:eastAsia="等线"/>
                <w:lang w:val="en-GB" w:eastAsia="zh-CN"/>
              </w:rPr>
            </w:pPr>
            <w:r>
              <w:rPr>
                <w:rFonts w:ascii="Times New Roman" w:hAnsi="Times New Roman" w:eastAsia="等线"/>
                <w:sz w:val="20"/>
                <w:szCs w:val="20"/>
                <w:lang w:eastAsia="zh-CN"/>
              </w:rPr>
              <w:t>Group-common signaling can be considered for cell DTX/DRX activation/deactivation information to reduce overhead.</w:t>
            </w:r>
          </w:p>
        </w:tc>
      </w:tr>
    </w:tbl>
    <w:p>
      <w:pPr>
        <w:pStyle w:val="9"/>
        <w:rPr>
          <w:rFonts w:ascii="Times New Roman" w:hAnsi="Times New Roman" w:eastAsia="等线"/>
        </w:rPr>
      </w:pPr>
    </w:p>
    <w:p>
      <w:pPr>
        <w:pStyle w:val="2"/>
        <w:ind w:left="0" w:firstLine="0"/>
      </w:pPr>
      <w:r>
        <w:rPr>
          <w:lang w:val="en-US"/>
        </w:rPr>
        <w:t>Reference</w:t>
      </w:r>
    </w:p>
    <w:p>
      <w:pPr>
        <w:pStyle w:val="69"/>
        <w:rPr>
          <w:lang w:val="en-US" w:eastAsia="zh-CN"/>
        </w:rPr>
      </w:pPr>
      <w:r>
        <w:t>R2-2304568. LS on Cell DTX/DRX activation/deactivation. RAN2</w:t>
      </w:r>
    </w:p>
    <w:p>
      <w:pPr>
        <w:pStyle w:val="69"/>
        <w:overflowPunct/>
        <w:autoSpaceDE/>
        <w:autoSpaceDN/>
        <w:adjustRightInd/>
        <w:spacing w:before="120" w:beforeLines="50" w:after="120" w:afterLines="50"/>
        <w:ind w:left="363" w:hanging="363"/>
        <w:jc w:val="both"/>
        <w:textAlignment w:val="auto"/>
        <w:rPr>
          <w:szCs w:val="21"/>
        </w:rPr>
      </w:pPr>
      <w:r>
        <w:rPr>
          <w:rFonts w:cs="Arial"/>
        </w:rPr>
        <w:t>Report of 3GPP TSG RAN WG2 meeting #121</w:t>
      </w:r>
      <w:r>
        <w:rPr>
          <w:rFonts w:hint="eastAsia" w:cs="Arial"/>
        </w:rPr>
        <w:t>bis-e</w:t>
      </w:r>
      <w:r>
        <w:rPr>
          <w:rFonts w:hint="eastAsia"/>
        </w:rPr>
        <w:t xml:space="preserve">. </w:t>
      </w:r>
      <w:r>
        <w:t>202</w:t>
      </w:r>
      <w:r>
        <w:rPr>
          <w:rFonts w:hint="eastAsia"/>
        </w:rPr>
        <w:t>3-05.</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Yu Gothic Light">
    <w:panose1 w:val="020B03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73"/>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1">
    <w:nsid w:val="BD0CA652"/>
    <w:multiLevelType w:val="multilevel"/>
    <w:tmpl w:val="BD0CA652"/>
    <w:lvl w:ilvl="0" w:tentative="0">
      <w:start w:val="1"/>
      <w:numFmt w:val="decimal"/>
      <w:pStyle w:val="74"/>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2DC92C5D"/>
    <w:multiLevelType w:val="multilevel"/>
    <w:tmpl w:val="2DC92C5D"/>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877D64"/>
    <w:multiLevelType w:val="singleLevel"/>
    <w:tmpl w:val="3A877D64"/>
    <w:lvl w:ilvl="0" w:tentative="0">
      <w:start w:val="1"/>
      <w:numFmt w:val="decimal"/>
      <w:pStyle w:val="69"/>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27"/>
      <w:lvlText w:val="Proposal %1"/>
      <w:lvlJc w:val="left"/>
      <w:pPr>
        <w:tabs>
          <w:tab w:val="left" w:pos="1304"/>
        </w:tabs>
        <w:ind w:left="1304" w:hanging="1304"/>
      </w:pPr>
      <w:rPr>
        <w:rFonts w:hint="default" w:ascii="Times New Roman" w:hAnsi="Times New Roman" w:cs="Times New Roman"/>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4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40062A"/>
    <w:multiLevelType w:val="multilevel"/>
    <w:tmpl w:val="4F40062A"/>
    <w:lvl w:ilvl="0" w:tentative="0">
      <w:start w:val="0"/>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2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E3F5669"/>
    <w:multiLevelType w:val="multilevel"/>
    <w:tmpl w:val="5E3F56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6F73A45"/>
    <w:multiLevelType w:val="multilevel"/>
    <w:tmpl w:val="76F73A45"/>
    <w:lvl w:ilvl="0" w:tentative="0">
      <w:start w:val="1"/>
      <w:numFmt w:val="bullet"/>
      <w:lvlText w:val=""/>
      <w:lvlJc w:val="left"/>
      <w:pPr>
        <w:tabs>
          <w:tab w:val="left" w:pos="1080"/>
        </w:tabs>
        <w:ind w:left="1080" w:hanging="360"/>
      </w:pPr>
      <w:rPr>
        <w:rFonts w:hint="default" w:ascii="Symbol" w:hAnsi="Symbol"/>
        <w:b/>
        <w:bCs/>
        <w:i w:val="0"/>
        <w:iCs w:val="0"/>
        <w:sz w:val="22"/>
        <w:szCs w:val="22"/>
      </w:rPr>
    </w:lvl>
    <w:lvl w:ilvl="1" w:tentative="0">
      <w:start w:val="1"/>
      <w:numFmt w:val="bullet"/>
      <w:lvlText w:val="o"/>
      <w:lvlJc w:val="left"/>
      <w:pPr>
        <w:tabs>
          <w:tab w:val="left" w:pos="901"/>
        </w:tabs>
        <w:ind w:left="901" w:hanging="360"/>
      </w:pPr>
      <w:rPr>
        <w:rFonts w:hint="default" w:ascii="Courier New" w:hAnsi="Courier New" w:cs="Courier New"/>
      </w:rPr>
    </w:lvl>
    <w:lvl w:ilvl="2" w:tentative="0">
      <w:start w:val="1"/>
      <w:numFmt w:val="bullet"/>
      <w:lvlText w:val=""/>
      <w:lvlJc w:val="left"/>
      <w:pPr>
        <w:tabs>
          <w:tab w:val="left" w:pos="1621"/>
        </w:tabs>
        <w:ind w:left="1621" w:hanging="360"/>
      </w:pPr>
      <w:rPr>
        <w:rFonts w:hint="default" w:ascii="Wingdings" w:hAnsi="Wingdings"/>
      </w:rPr>
    </w:lvl>
    <w:lvl w:ilvl="3" w:tentative="0">
      <w:start w:val="1"/>
      <w:numFmt w:val="bullet"/>
      <w:lvlText w:val=""/>
      <w:lvlJc w:val="left"/>
      <w:pPr>
        <w:tabs>
          <w:tab w:val="left" w:pos="2341"/>
        </w:tabs>
        <w:ind w:left="2341" w:hanging="360"/>
      </w:pPr>
      <w:rPr>
        <w:rFonts w:hint="default" w:ascii="Symbol" w:hAnsi="Symbol"/>
      </w:rPr>
    </w:lvl>
    <w:lvl w:ilvl="4" w:tentative="0">
      <w:start w:val="1"/>
      <w:numFmt w:val="bullet"/>
      <w:lvlText w:val="o"/>
      <w:lvlJc w:val="left"/>
      <w:pPr>
        <w:tabs>
          <w:tab w:val="left" w:pos="3061"/>
        </w:tabs>
        <w:ind w:left="3061" w:hanging="360"/>
      </w:pPr>
      <w:rPr>
        <w:rFonts w:hint="default" w:ascii="Courier New" w:hAnsi="Courier New" w:cs="Courier New"/>
      </w:rPr>
    </w:lvl>
    <w:lvl w:ilvl="5" w:tentative="0">
      <w:start w:val="1"/>
      <w:numFmt w:val="bullet"/>
      <w:lvlText w:val=""/>
      <w:lvlJc w:val="left"/>
      <w:pPr>
        <w:tabs>
          <w:tab w:val="left" w:pos="3781"/>
        </w:tabs>
        <w:ind w:left="3781" w:hanging="360"/>
      </w:pPr>
      <w:rPr>
        <w:rFonts w:hint="default" w:ascii="Wingdings" w:hAnsi="Wingdings"/>
      </w:rPr>
    </w:lvl>
    <w:lvl w:ilvl="6" w:tentative="0">
      <w:start w:val="1"/>
      <w:numFmt w:val="bullet"/>
      <w:lvlText w:val=""/>
      <w:lvlJc w:val="left"/>
      <w:pPr>
        <w:tabs>
          <w:tab w:val="left" w:pos="4501"/>
        </w:tabs>
        <w:ind w:left="4501" w:hanging="360"/>
      </w:pPr>
      <w:rPr>
        <w:rFonts w:hint="default" w:ascii="Symbol" w:hAnsi="Symbol"/>
      </w:rPr>
    </w:lvl>
    <w:lvl w:ilvl="7" w:tentative="0">
      <w:start w:val="1"/>
      <w:numFmt w:val="bullet"/>
      <w:lvlText w:val="o"/>
      <w:lvlJc w:val="left"/>
      <w:pPr>
        <w:tabs>
          <w:tab w:val="left" w:pos="5221"/>
        </w:tabs>
        <w:ind w:left="5221" w:hanging="360"/>
      </w:pPr>
      <w:rPr>
        <w:rFonts w:hint="default" w:ascii="Courier New" w:hAnsi="Courier New" w:cs="Courier New"/>
      </w:rPr>
    </w:lvl>
    <w:lvl w:ilvl="8" w:tentative="0">
      <w:start w:val="1"/>
      <w:numFmt w:val="bullet"/>
      <w:lvlText w:val=""/>
      <w:lvlJc w:val="left"/>
      <w:pPr>
        <w:tabs>
          <w:tab w:val="left" w:pos="5941"/>
        </w:tabs>
        <w:ind w:left="5941" w:hanging="360"/>
      </w:pPr>
      <w:rPr>
        <w:rFonts w:hint="default" w:ascii="Wingdings" w:hAnsi="Wingdings"/>
      </w:rPr>
    </w:lvl>
  </w:abstractNum>
  <w:num w:numId="1">
    <w:abstractNumId w:val="4"/>
  </w:num>
  <w:num w:numId="2">
    <w:abstractNumId w:val="7"/>
  </w:num>
  <w:num w:numId="3">
    <w:abstractNumId w:val="5"/>
  </w:num>
  <w:num w:numId="4">
    <w:abstractNumId w:val="3"/>
  </w:num>
  <w:num w:numId="5">
    <w:abstractNumId w:val="0"/>
  </w:num>
  <w:num w:numId="6">
    <w:abstractNumId w:val="1"/>
  </w:num>
  <w:num w:numId="7">
    <w:abstractNumId w:val="9"/>
  </w:num>
  <w:num w:numId="8">
    <w:abstractNumId w:val="6"/>
  </w:num>
  <w:num w:numId="9">
    <w:abstractNumId w:val="8"/>
  </w:num>
  <w:num w:numId="10">
    <w:abstractNumId w:val="2"/>
  </w:num>
  <w:num w:numId="11">
    <w:abstractNumId w:val="0"/>
    <w:lvlOverride w:ilvl="0">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5E1"/>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2B1F"/>
    <w:rsid w:val="000A32C4"/>
    <w:rsid w:val="000A3B47"/>
    <w:rsid w:val="000A4354"/>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6506"/>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3DA"/>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050"/>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57FF"/>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59F"/>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2478"/>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C65F3"/>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289A"/>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774C4"/>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2805"/>
    <w:rsid w:val="009A353F"/>
    <w:rsid w:val="009A3A64"/>
    <w:rsid w:val="009A4E02"/>
    <w:rsid w:val="009A50B8"/>
    <w:rsid w:val="009A59C3"/>
    <w:rsid w:val="009A6FCF"/>
    <w:rsid w:val="009B0C53"/>
    <w:rsid w:val="009B149D"/>
    <w:rsid w:val="009B233A"/>
    <w:rsid w:val="009B2823"/>
    <w:rsid w:val="009B490F"/>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6AB"/>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C9C"/>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A55"/>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2F1D"/>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1DAC"/>
    <w:rsid w:val="00DC2F50"/>
    <w:rsid w:val="00DC398D"/>
    <w:rsid w:val="00DC4887"/>
    <w:rsid w:val="00DC4A41"/>
    <w:rsid w:val="00DC60A1"/>
    <w:rsid w:val="00DC631C"/>
    <w:rsid w:val="00DC6541"/>
    <w:rsid w:val="00DC6A6A"/>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2F7C"/>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0BA1"/>
    <w:rsid w:val="00FD140D"/>
    <w:rsid w:val="00FD228F"/>
    <w:rsid w:val="00FD24F9"/>
    <w:rsid w:val="00FD3E35"/>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1A85550"/>
    <w:rsid w:val="022C6F6A"/>
    <w:rsid w:val="058C5B7E"/>
    <w:rsid w:val="08052736"/>
    <w:rsid w:val="08BD3A0D"/>
    <w:rsid w:val="08D60915"/>
    <w:rsid w:val="099B1A98"/>
    <w:rsid w:val="0ADC0EF2"/>
    <w:rsid w:val="14185E95"/>
    <w:rsid w:val="141E5B6F"/>
    <w:rsid w:val="15B04EB9"/>
    <w:rsid w:val="15E52D8C"/>
    <w:rsid w:val="16BAA439"/>
    <w:rsid w:val="19663E86"/>
    <w:rsid w:val="1E445A84"/>
    <w:rsid w:val="212650B4"/>
    <w:rsid w:val="229B5C3B"/>
    <w:rsid w:val="229D6A2B"/>
    <w:rsid w:val="232F5AB4"/>
    <w:rsid w:val="289514B1"/>
    <w:rsid w:val="2A6A402E"/>
    <w:rsid w:val="2A6E0CC7"/>
    <w:rsid w:val="30163215"/>
    <w:rsid w:val="3063357F"/>
    <w:rsid w:val="30B73758"/>
    <w:rsid w:val="31B254EB"/>
    <w:rsid w:val="32617645"/>
    <w:rsid w:val="33C95F07"/>
    <w:rsid w:val="3706590E"/>
    <w:rsid w:val="38AC6D01"/>
    <w:rsid w:val="39B03CD4"/>
    <w:rsid w:val="41055823"/>
    <w:rsid w:val="41864554"/>
    <w:rsid w:val="41F96016"/>
    <w:rsid w:val="4386700B"/>
    <w:rsid w:val="43870B63"/>
    <w:rsid w:val="47726D57"/>
    <w:rsid w:val="47885781"/>
    <w:rsid w:val="4992663D"/>
    <w:rsid w:val="4B1818D5"/>
    <w:rsid w:val="4B7C6CA2"/>
    <w:rsid w:val="4BDF1CAB"/>
    <w:rsid w:val="4D713553"/>
    <w:rsid w:val="4DB855EB"/>
    <w:rsid w:val="4EC0712D"/>
    <w:rsid w:val="525719C1"/>
    <w:rsid w:val="52E96A5A"/>
    <w:rsid w:val="52F11F3D"/>
    <w:rsid w:val="56221208"/>
    <w:rsid w:val="58A1076C"/>
    <w:rsid w:val="5AF4483C"/>
    <w:rsid w:val="5BD33053"/>
    <w:rsid w:val="606B029A"/>
    <w:rsid w:val="64216740"/>
    <w:rsid w:val="65A76ED7"/>
    <w:rsid w:val="663B3613"/>
    <w:rsid w:val="667E25CA"/>
    <w:rsid w:val="66CF7C4C"/>
    <w:rsid w:val="693A2AAA"/>
    <w:rsid w:val="6B142648"/>
    <w:rsid w:val="6B881643"/>
    <w:rsid w:val="6BD80920"/>
    <w:rsid w:val="6E39596F"/>
    <w:rsid w:val="6F0E74BF"/>
    <w:rsid w:val="6F106127"/>
    <w:rsid w:val="6FEA5271"/>
    <w:rsid w:val="7528523D"/>
    <w:rsid w:val="75D1354F"/>
    <w:rsid w:val="76453851"/>
    <w:rsid w:val="76F77EF1"/>
    <w:rsid w:val="793A6C87"/>
    <w:rsid w:val="7CBE7274"/>
    <w:rsid w:val="7D1B0E24"/>
    <w:rsid w:val="7D4C733E"/>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2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50"/>
    <w:unhideWhenUsed/>
    <w:qFormat/>
    <w:uiPriority w:val="9"/>
    <w:pPr>
      <w:keepNext/>
      <w:keepLines/>
      <w:spacing w:before="280" w:after="240"/>
      <w:outlineLvl w:val="1"/>
    </w:pPr>
    <w:rPr>
      <w:rFonts w:ascii="Arial" w:hAnsi="Arial" w:eastAsiaTheme="majorEastAsia" w:cstheme="majorBidi"/>
      <w:sz w:val="28"/>
      <w:szCs w:val="26"/>
    </w:rPr>
  </w:style>
  <w:style w:type="paragraph" w:styleId="4">
    <w:name w:val="heading 3"/>
    <w:basedOn w:val="1"/>
    <w:next w:val="1"/>
    <w:link w:val="47"/>
    <w:unhideWhenUsed/>
    <w:qFormat/>
    <w:uiPriority w:val="9"/>
    <w:pPr>
      <w:keepNext/>
      <w:keepLines/>
      <w:spacing w:before="160" w:after="120"/>
      <w:outlineLvl w:val="2"/>
    </w:pPr>
    <w:rPr>
      <w:rFonts w:ascii="Arial" w:hAnsi="Arial" w:eastAsiaTheme="majorEastAsia" w:cstheme="majorBidi"/>
      <w:sz w:val="24"/>
      <w:szCs w:val="24"/>
    </w:rPr>
  </w:style>
  <w:style w:type="paragraph" w:styleId="5">
    <w:name w:val="heading 4"/>
    <w:basedOn w:val="1"/>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49"/>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0"/>
    <w:pPr>
      <w:spacing w:after="200"/>
    </w:pPr>
    <w:rPr>
      <w:b/>
      <w:iCs/>
      <w:sz w:val="18"/>
      <w:szCs w:val="18"/>
    </w:rPr>
  </w:style>
  <w:style w:type="paragraph" w:styleId="8">
    <w:name w:val="annotation text"/>
    <w:basedOn w:val="1"/>
    <w:link w:val="40"/>
    <w:unhideWhenUsed/>
    <w:qFormat/>
    <w:uiPriority w:val="0"/>
  </w:style>
  <w:style w:type="paragraph" w:styleId="9">
    <w:name w:val="Body Text"/>
    <w:basedOn w:val="1"/>
    <w:link w:val="26"/>
    <w:qFormat/>
    <w:uiPriority w:val="0"/>
    <w:pPr>
      <w:spacing w:after="120"/>
      <w:jc w:val="both"/>
    </w:pPr>
    <w:rPr>
      <w:rFonts w:ascii="Arial" w:hAnsi="Arial"/>
      <w:lang w:eastAsia="zh-CN"/>
    </w:rPr>
  </w:style>
  <w:style w:type="paragraph" w:styleId="10">
    <w:name w:val="Balloon Text"/>
    <w:basedOn w:val="1"/>
    <w:link w:val="23"/>
    <w:semiHidden/>
    <w:unhideWhenUsed/>
    <w:qFormat/>
    <w:uiPriority w:val="99"/>
    <w:pPr>
      <w:spacing w:after="0"/>
    </w:pPr>
    <w:rPr>
      <w:rFonts w:ascii="Segoe UI" w:hAnsi="Segoe UI" w:cs="Segoe UI"/>
      <w:sz w:val="18"/>
      <w:szCs w:val="18"/>
    </w:rPr>
  </w:style>
  <w:style w:type="paragraph" w:styleId="11">
    <w:name w:val="footer"/>
    <w:basedOn w:val="1"/>
    <w:link w:val="55"/>
    <w:unhideWhenUsed/>
    <w:qFormat/>
    <w:uiPriority w:val="99"/>
    <w:pPr>
      <w:tabs>
        <w:tab w:val="center" w:pos="4513"/>
        <w:tab w:val="right" w:pos="9026"/>
      </w:tabs>
      <w:spacing w:after="0"/>
    </w:pPr>
  </w:style>
  <w:style w:type="paragraph" w:styleId="12">
    <w:name w:val="header"/>
    <w:basedOn w:val="1"/>
    <w:link w:val="54"/>
    <w:unhideWhenUsed/>
    <w:qFormat/>
    <w:uiPriority w:val="0"/>
    <w:pPr>
      <w:tabs>
        <w:tab w:val="center" w:pos="4513"/>
        <w:tab w:val="right" w:pos="9026"/>
      </w:tabs>
      <w:spacing w:after="0"/>
    </w:pPr>
  </w:style>
  <w:style w:type="paragraph" w:styleId="13">
    <w:name w:val="List"/>
    <w:basedOn w:val="1"/>
    <w:semiHidden/>
    <w:unhideWhenUsed/>
    <w:qFormat/>
    <w:uiPriority w:val="99"/>
    <w:pPr>
      <w:ind w:left="283" w:hanging="283"/>
      <w:contextualSpacing/>
    </w:pPr>
  </w:style>
  <w:style w:type="paragraph" w:styleId="14">
    <w:name w:val="table of figures"/>
    <w:basedOn w:val="9"/>
    <w:next w:val="1"/>
    <w:qFormat/>
    <w:uiPriority w:val="99"/>
    <w:pPr>
      <w:ind w:left="1701" w:hanging="1701"/>
      <w:jc w:val="left"/>
    </w:pPr>
    <w:rPr>
      <w:b/>
    </w:rPr>
  </w:style>
  <w:style w:type="paragraph" w:styleId="15">
    <w:name w:val="Normal (Web)"/>
    <w:basedOn w:val="1"/>
    <w:semiHidden/>
    <w:unhideWhenUsed/>
    <w:qFormat/>
    <w:uiPriority w:val="99"/>
    <w:pPr>
      <w:spacing w:beforeAutospacing="1" w:after="0" w:afterAutospacing="1"/>
    </w:pPr>
    <w:rPr>
      <w:sz w:val="24"/>
      <w:lang w:val="en-US" w:eastAsia="zh-CN"/>
    </w:rPr>
  </w:style>
  <w:style w:type="paragraph" w:styleId="16">
    <w:name w:val="annotation subject"/>
    <w:basedOn w:val="8"/>
    <w:next w:val="8"/>
    <w:link w:val="41"/>
    <w:semiHidden/>
    <w:unhideWhenUsed/>
    <w:qFormat/>
    <w:uiPriority w:val="99"/>
    <w:rPr>
      <w:b/>
      <w:bCs/>
    </w:rPr>
  </w:style>
  <w:style w:type="table" w:styleId="18">
    <w:name w:val="Table Grid"/>
    <w:basedOn w:val="17"/>
    <w:qFormat/>
    <w:uiPriority w:val="0"/>
    <w:rPr>
      <w:rFonts w:ascii="Calibri" w:hAnsi="Calibri" w:eastAsia="Calibri"/>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iCs/>
    </w:rPr>
  </w:style>
  <w:style w:type="character" w:styleId="21">
    <w:name w:val="Hyperlink"/>
    <w:qFormat/>
    <w:uiPriority w:val="99"/>
    <w:rPr>
      <w:color w:val="0000FF"/>
      <w:u w:val="single"/>
    </w:rPr>
  </w:style>
  <w:style w:type="character" w:styleId="22">
    <w:name w:val="annotation reference"/>
    <w:basedOn w:val="19"/>
    <w:semiHidden/>
    <w:unhideWhenUsed/>
    <w:qFormat/>
    <w:uiPriority w:val="0"/>
    <w:rPr>
      <w:sz w:val="16"/>
      <w:szCs w:val="16"/>
    </w:rPr>
  </w:style>
  <w:style w:type="character" w:customStyle="1" w:styleId="23">
    <w:name w:val="批注框文本 字符"/>
    <w:basedOn w:val="19"/>
    <w:link w:val="10"/>
    <w:semiHidden/>
    <w:qFormat/>
    <w:uiPriority w:val="99"/>
    <w:rPr>
      <w:rFonts w:ascii="Segoe UI" w:hAnsi="Segoe UI" w:eastAsia="Times New Roman" w:cs="Segoe UI"/>
      <w:sz w:val="18"/>
      <w:szCs w:val="18"/>
      <w:lang w:val="en-GB" w:eastAsia="ja-JP"/>
    </w:rPr>
  </w:style>
  <w:style w:type="character" w:customStyle="1" w:styleId="24">
    <w:name w:val="标题 1 字符"/>
    <w:basedOn w:val="19"/>
    <w:link w:val="2"/>
    <w:qFormat/>
    <w:uiPriority w:val="0"/>
    <w:rPr>
      <w:rFonts w:ascii="Arial" w:hAnsi="Arial" w:eastAsia="Times New Roman" w:cs="Times New Roman"/>
      <w:sz w:val="36"/>
      <w:szCs w:val="20"/>
      <w:lang w:val="en-GB" w:eastAsia="ja-JP"/>
    </w:rPr>
  </w:style>
  <w:style w:type="paragraph" w:customStyle="1" w:styleId="25">
    <w:name w:val="3GPP_Header"/>
    <w:basedOn w:val="9"/>
    <w:qFormat/>
    <w:uiPriority w:val="0"/>
    <w:pPr>
      <w:tabs>
        <w:tab w:val="left" w:pos="1701"/>
        <w:tab w:val="right" w:pos="9639"/>
      </w:tabs>
      <w:spacing w:after="240"/>
    </w:pPr>
    <w:rPr>
      <w:b/>
      <w:sz w:val="24"/>
    </w:rPr>
  </w:style>
  <w:style w:type="character" w:customStyle="1" w:styleId="26">
    <w:name w:val="正文文本 字符"/>
    <w:basedOn w:val="19"/>
    <w:link w:val="9"/>
    <w:qFormat/>
    <w:uiPriority w:val="0"/>
    <w:rPr>
      <w:rFonts w:ascii="Arial" w:hAnsi="Arial" w:eastAsia="Times New Roman" w:cs="Times New Roman"/>
      <w:sz w:val="20"/>
      <w:szCs w:val="20"/>
      <w:lang w:val="en-GB" w:eastAsia="zh-CN"/>
    </w:rPr>
  </w:style>
  <w:style w:type="paragraph" w:customStyle="1" w:styleId="27">
    <w:name w:val="Proposal"/>
    <w:basedOn w:val="9"/>
    <w:qFormat/>
    <w:uiPriority w:val="0"/>
    <w:pPr>
      <w:numPr>
        <w:ilvl w:val="0"/>
        <w:numId w:val="1"/>
      </w:numPr>
      <w:tabs>
        <w:tab w:val="left" w:pos="1701"/>
      </w:tabs>
    </w:pPr>
    <w:rPr>
      <w:b/>
      <w:bCs/>
    </w:rPr>
  </w:style>
  <w:style w:type="paragraph" w:customStyle="1" w:styleId="28">
    <w:name w:val="Observation"/>
    <w:basedOn w:val="27"/>
    <w:qFormat/>
    <w:uiPriority w:val="0"/>
    <w:pPr>
      <w:numPr>
        <w:ilvl w:val="0"/>
        <w:numId w:val="2"/>
      </w:numPr>
      <w:ind w:left="1701" w:hanging="1701"/>
    </w:pPr>
    <w:rPr>
      <w:lang w:eastAsia="ja-JP"/>
    </w:rPr>
  </w:style>
  <w:style w:type="paragraph" w:customStyle="1" w:styleId="29">
    <w:name w:val="EQ"/>
    <w:basedOn w:val="1"/>
    <w:next w:val="1"/>
    <w:qFormat/>
    <w:uiPriority w:val="0"/>
    <w:pPr>
      <w:keepLines/>
      <w:tabs>
        <w:tab w:val="center" w:pos="4536"/>
        <w:tab w:val="right" w:pos="9072"/>
      </w:tabs>
    </w:pPr>
    <w:rPr>
      <w:rFonts w:ascii="Arial" w:hAnsi="Arial"/>
    </w:rPr>
  </w:style>
  <w:style w:type="paragraph" w:customStyle="1" w:styleId="30">
    <w:name w:val="B1"/>
    <w:basedOn w:val="13"/>
    <w:link w:val="31"/>
    <w:qFormat/>
    <w:uiPriority w:val="0"/>
    <w:pPr>
      <w:spacing w:after="120"/>
      <w:ind w:left="568" w:hanging="284"/>
      <w:contextualSpacing w:val="0"/>
      <w:jc w:val="both"/>
    </w:pPr>
    <w:rPr>
      <w:lang w:eastAsia="zh-CN"/>
    </w:rPr>
  </w:style>
  <w:style w:type="character" w:customStyle="1" w:styleId="31">
    <w:name w:val="B1 Char1"/>
    <w:link w:val="30"/>
    <w:qFormat/>
    <w:uiPriority w:val="0"/>
    <w:rPr>
      <w:rFonts w:ascii="Times New Roman" w:hAnsi="Times New Roman" w:eastAsia="Times New Roman" w:cs="Times New Roman"/>
      <w:sz w:val="20"/>
      <w:szCs w:val="20"/>
      <w:lang w:val="en-GB" w:eastAsia="zh-CN"/>
    </w:rPr>
  </w:style>
  <w:style w:type="paragraph" w:styleId="32">
    <w:name w:val="List Paragraph"/>
    <w:basedOn w:val="1"/>
    <w:link w:val="33"/>
    <w:qFormat/>
    <w:uiPriority w:val="34"/>
    <w:pPr>
      <w:overflowPunct/>
      <w:autoSpaceDE/>
      <w:autoSpaceDN/>
      <w:adjustRightInd/>
      <w:spacing w:after="0"/>
      <w:ind w:left="720"/>
      <w:contextualSpacing/>
      <w:textAlignment w:val="auto"/>
    </w:pPr>
    <w:rPr>
      <w:sz w:val="24"/>
      <w:szCs w:val="24"/>
      <w:lang w:val="en-IN" w:eastAsia="en-GB"/>
    </w:rPr>
  </w:style>
  <w:style w:type="character" w:customStyle="1" w:styleId="33">
    <w:name w:val="列表段落 字符"/>
    <w:link w:val="32"/>
    <w:qFormat/>
    <w:uiPriority w:val="34"/>
    <w:rPr>
      <w:rFonts w:ascii="Times New Roman" w:hAnsi="Times New Roman" w:eastAsia="Times New Roman" w:cs="Times New Roman"/>
      <w:sz w:val="24"/>
      <w:szCs w:val="24"/>
      <w:lang w:val="en-IN" w:eastAsia="en-GB"/>
    </w:rPr>
  </w:style>
  <w:style w:type="paragraph" w:customStyle="1" w:styleId="34">
    <w:name w:val="3GPP Text"/>
    <w:basedOn w:val="1"/>
    <w:link w:val="35"/>
    <w:qFormat/>
    <w:uiPriority w:val="0"/>
    <w:pPr>
      <w:spacing w:before="120" w:after="120"/>
      <w:jc w:val="both"/>
    </w:pPr>
    <w:rPr>
      <w:sz w:val="24"/>
      <w:szCs w:val="24"/>
      <w:lang w:val="en-US" w:eastAsia="en-GB"/>
    </w:rPr>
  </w:style>
  <w:style w:type="character" w:customStyle="1" w:styleId="35">
    <w:name w:val="3GPP Text Char"/>
    <w:link w:val="34"/>
    <w:qFormat/>
    <w:uiPriority w:val="0"/>
    <w:rPr>
      <w:rFonts w:ascii="Times New Roman" w:hAnsi="Times New Roman" w:eastAsia="Times New Roman" w:cs="Times New Roman"/>
      <w:sz w:val="24"/>
      <w:szCs w:val="24"/>
      <w:lang w:val="en-US" w:eastAsia="en-GB"/>
    </w:rPr>
  </w:style>
  <w:style w:type="paragraph" w:customStyle="1" w:styleId="36">
    <w:name w:val="CR Cover Page"/>
    <w:qFormat/>
    <w:uiPriority w:val="0"/>
    <w:pPr>
      <w:spacing w:after="120"/>
    </w:pPr>
    <w:rPr>
      <w:rFonts w:ascii="Arial" w:hAnsi="Arial" w:eastAsia="宋体" w:cs="Times New Roman"/>
      <w:lang w:val="en-GB" w:eastAsia="en-US" w:bidi="ar-SA"/>
    </w:rPr>
  </w:style>
  <w:style w:type="paragraph" w:customStyle="1" w:styleId="37">
    <w:name w:val="Style1"/>
    <w:basedOn w:val="1"/>
    <w:link w:val="38"/>
    <w:qFormat/>
    <w:uiPriority w:val="0"/>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38">
    <w:name w:val="Style1 Char"/>
    <w:link w:val="37"/>
    <w:qFormat/>
    <w:uiPriority w:val="0"/>
    <w:rPr>
      <w:rFonts w:ascii="Times New Roman" w:hAnsi="Times New Roman" w:eastAsia="Times New Roman" w:cs="Times New Roman"/>
      <w:sz w:val="20"/>
      <w:szCs w:val="24"/>
      <w:lang w:val="en-US" w:eastAsia="zh-CN"/>
    </w:rPr>
  </w:style>
  <w:style w:type="character" w:customStyle="1" w:styleId="39">
    <w:name w:val="不明显强调1"/>
    <w:basedOn w:val="19"/>
    <w:qFormat/>
    <w:uiPriority w:val="19"/>
    <w:rPr>
      <w:i/>
      <w:iCs/>
      <w:color w:val="404040" w:themeColor="text1" w:themeTint="BF"/>
      <w14:textFill>
        <w14:solidFill>
          <w14:schemeClr w14:val="tx1">
            <w14:lumMod w14:val="75000"/>
            <w14:lumOff w14:val="25000"/>
          </w14:schemeClr>
        </w14:solidFill>
      </w14:textFill>
    </w:rPr>
  </w:style>
  <w:style w:type="character" w:customStyle="1" w:styleId="40">
    <w:name w:val="批注文字 字符"/>
    <w:basedOn w:val="19"/>
    <w:link w:val="8"/>
    <w:qFormat/>
    <w:uiPriority w:val="0"/>
    <w:rPr>
      <w:rFonts w:ascii="Times New Roman" w:hAnsi="Times New Roman" w:eastAsia="Times New Roman" w:cs="Times New Roman"/>
      <w:sz w:val="20"/>
      <w:szCs w:val="20"/>
      <w:lang w:val="en-GB" w:eastAsia="ja-JP"/>
    </w:rPr>
  </w:style>
  <w:style w:type="character" w:customStyle="1" w:styleId="41">
    <w:name w:val="批注主题 字符"/>
    <w:basedOn w:val="40"/>
    <w:link w:val="16"/>
    <w:semiHidden/>
    <w:qFormat/>
    <w:uiPriority w:val="99"/>
    <w:rPr>
      <w:rFonts w:ascii="Times New Roman" w:hAnsi="Times New Roman" w:eastAsia="Times New Roman" w:cs="Times New Roman"/>
      <w:b/>
      <w:bCs/>
      <w:sz w:val="20"/>
      <w:szCs w:val="20"/>
      <w:lang w:val="en-GB" w:eastAsia="ja-JP"/>
    </w:rPr>
  </w:style>
  <w:style w:type="paragraph" w:customStyle="1" w:styleId="42">
    <w:name w:val="Reference"/>
    <w:basedOn w:val="9"/>
    <w:qFormat/>
    <w:uiPriority w:val="0"/>
    <w:pPr>
      <w:numPr>
        <w:ilvl w:val="0"/>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43">
    <w:name w:val="PL"/>
    <w:link w:val="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PL Char"/>
    <w:link w:val="43"/>
    <w:qFormat/>
    <w:uiPriority w:val="0"/>
    <w:rPr>
      <w:rFonts w:ascii="Courier New" w:hAnsi="Courier New" w:eastAsia="Times New Roman" w:cs="Times New Roman"/>
      <w:sz w:val="16"/>
      <w:szCs w:val="20"/>
      <w:shd w:val="clear" w:color="auto" w:fill="E6E6E6"/>
      <w:lang w:val="en-GB" w:eastAsia="en-GB"/>
    </w:rPr>
  </w:style>
  <w:style w:type="paragraph" w:customStyle="1" w:styleId="45">
    <w:name w:val="TH"/>
    <w:basedOn w:val="1"/>
    <w:link w:val="46"/>
    <w:qFormat/>
    <w:uiPriority w:val="0"/>
    <w:pPr>
      <w:keepNext/>
      <w:keepLines/>
      <w:spacing w:before="60"/>
      <w:jc w:val="center"/>
    </w:pPr>
    <w:rPr>
      <w:rFonts w:ascii="Arial" w:hAnsi="Arial"/>
      <w:b/>
    </w:rPr>
  </w:style>
  <w:style w:type="character" w:customStyle="1" w:styleId="46">
    <w:name w:val="TH Char"/>
    <w:link w:val="45"/>
    <w:qFormat/>
    <w:uiPriority w:val="0"/>
    <w:rPr>
      <w:rFonts w:ascii="Arial" w:hAnsi="Arial" w:eastAsia="Times New Roman" w:cs="Times New Roman"/>
      <w:b/>
      <w:sz w:val="20"/>
      <w:szCs w:val="20"/>
      <w:lang w:val="en-GB" w:eastAsia="ja-JP"/>
    </w:rPr>
  </w:style>
  <w:style w:type="character" w:customStyle="1" w:styleId="47">
    <w:name w:val="标题 3 字符"/>
    <w:basedOn w:val="19"/>
    <w:link w:val="4"/>
    <w:qFormat/>
    <w:uiPriority w:val="9"/>
    <w:rPr>
      <w:rFonts w:ascii="Arial" w:hAnsi="Arial" w:eastAsiaTheme="majorEastAsia" w:cstheme="majorBidi"/>
      <w:sz w:val="24"/>
      <w:szCs w:val="24"/>
      <w:lang w:val="en-GB" w:eastAsia="ja-JP"/>
    </w:rPr>
  </w:style>
  <w:style w:type="character" w:customStyle="1" w:styleId="48">
    <w:name w:val="标题 4 字符"/>
    <w:basedOn w:val="19"/>
    <w:link w:val="5"/>
    <w:semiHidden/>
    <w:qFormat/>
    <w:uiPriority w:val="9"/>
    <w:rPr>
      <w:rFonts w:asciiTheme="majorHAnsi" w:hAnsiTheme="majorHAnsi" w:eastAsiaTheme="majorEastAsia" w:cstheme="majorBidi"/>
      <w:i/>
      <w:iCs/>
      <w:color w:val="2F5597" w:themeColor="accent1" w:themeShade="BF"/>
      <w:sz w:val="20"/>
      <w:szCs w:val="20"/>
      <w:lang w:val="en-GB" w:eastAsia="ja-JP"/>
    </w:rPr>
  </w:style>
  <w:style w:type="character" w:customStyle="1" w:styleId="49">
    <w:name w:val="标题 5 字符"/>
    <w:basedOn w:val="19"/>
    <w:link w:val="6"/>
    <w:qFormat/>
    <w:uiPriority w:val="0"/>
    <w:rPr>
      <w:rFonts w:asciiTheme="majorHAnsi" w:hAnsiTheme="majorHAnsi" w:eastAsiaTheme="majorEastAsia" w:cstheme="majorBidi"/>
      <w:color w:val="2F5597" w:themeColor="accent1" w:themeShade="BF"/>
      <w:sz w:val="20"/>
      <w:szCs w:val="20"/>
      <w:lang w:val="en-GB" w:eastAsia="ja-JP"/>
    </w:rPr>
  </w:style>
  <w:style w:type="character" w:customStyle="1" w:styleId="50">
    <w:name w:val="标题 2 字符"/>
    <w:basedOn w:val="19"/>
    <w:link w:val="3"/>
    <w:qFormat/>
    <w:uiPriority w:val="9"/>
    <w:rPr>
      <w:rFonts w:ascii="Arial" w:hAnsi="Arial" w:eastAsiaTheme="majorEastAsia" w:cstheme="majorBidi"/>
      <w:sz w:val="28"/>
      <w:szCs w:val="26"/>
      <w:lang w:val="en-GB" w:eastAsia="ja-JP"/>
    </w:rPr>
  </w:style>
  <w:style w:type="paragraph" w:customStyle="1" w:styleId="51">
    <w:name w:val="修订1"/>
    <w:hidden/>
    <w:semiHidden/>
    <w:qFormat/>
    <w:uiPriority w:val="99"/>
    <w:rPr>
      <w:rFonts w:ascii="Times New Roman" w:hAnsi="Times New Roman" w:eastAsia="Times New Roman" w:cs="Times New Roman"/>
      <w:lang w:val="en-GB" w:eastAsia="ja-JP" w:bidi="ar-SA"/>
    </w:rPr>
  </w:style>
  <w:style w:type="paragraph" w:customStyle="1" w:styleId="52">
    <w:name w:val="xmsonormal"/>
    <w:basedOn w:val="1"/>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rPr>
  </w:style>
  <w:style w:type="table" w:customStyle="1" w:styleId="53">
    <w:name w:val="网格表 4 - 着色 31"/>
    <w:basedOn w:val="17"/>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54">
    <w:name w:val="页眉 字符"/>
    <w:basedOn w:val="19"/>
    <w:link w:val="12"/>
    <w:qFormat/>
    <w:uiPriority w:val="0"/>
    <w:rPr>
      <w:rFonts w:ascii="Times New Roman" w:hAnsi="Times New Roman" w:eastAsia="Times New Roman" w:cs="Times New Roman"/>
      <w:sz w:val="20"/>
      <w:szCs w:val="20"/>
      <w:lang w:val="en-GB" w:eastAsia="ja-JP"/>
    </w:rPr>
  </w:style>
  <w:style w:type="character" w:customStyle="1" w:styleId="55">
    <w:name w:val="页脚 字符"/>
    <w:basedOn w:val="19"/>
    <w:link w:val="11"/>
    <w:qFormat/>
    <w:uiPriority w:val="99"/>
    <w:rPr>
      <w:rFonts w:ascii="Times New Roman" w:hAnsi="Times New Roman" w:eastAsia="Times New Roman" w:cs="Times New Roman"/>
      <w:sz w:val="20"/>
      <w:szCs w:val="20"/>
      <w:lang w:val="en-GB" w:eastAsia="ja-JP"/>
    </w:rPr>
  </w:style>
  <w:style w:type="character" w:customStyle="1" w:styleId="56">
    <w:name w:val="B1 Zchn"/>
    <w:qFormat/>
    <w:locked/>
    <w:uiPriority w:val="0"/>
    <w:rPr>
      <w:lang w:val="zh-CN"/>
    </w:rPr>
  </w:style>
  <w:style w:type="character" w:customStyle="1" w:styleId="57">
    <w:name w:val="B2 Char"/>
    <w:link w:val="58"/>
    <w:qFormat/>
    <w:locked/>
    <w:uiPriority w:val="0"/>
    <w:rPr>
      <w:lang w:val="zh-CN"/>
    </w:rPr>
  </w:style>
  <w:style w:type="paragraph" w:customStyle="1" w:styleId="58">
    <w:name w:val="B2"/>
    <w:basedOn w:val="1"/>
    <w:link w:val="57"/>
    <w:qFormat/>
    <w:uiPriority w:val="0"/>
    <w:pPr>
      <w:overflowPunct/>
      <w:autoSpaceDE/>
      <w:autoSpaceDN/>
      <w:adjustRightInd/>
      <w:ind w:left="851" w:hanging="284"/>
      <w:textAlignment w:val="auto"/>
    </w:pPr>
    <w:rPr>
      <w:rFonts w:asciiTheme="minorHAnsi" w:hAnsiTheme="minorHAnsi" w:eastAsiaTheme="minorHAnsi" w:cstheme="minorBidi"/>
      <w:sz w:val="22"/>
      <w:szCs w:val="22"/>
      <w:lang w:val="zh-CN" w:eastAsia="en-US"/>
    </w:rPr>
  </w:style>
  <w:style w:type="character" w:customStyle="1" w:styleId="59">
    <w:name w:val="未处理的提及1"/>
    <w:basedOn w:val="19"/>
    <w:semiHidden/>
    <w:unhideWhenUsed/>
    <w:qFormat/>
    <w:uiPriority w:val="99"/>
    <w:rPr>
      <w:color w:val="605E5C"/>
      <w:shd w:val="clear" w:color="auto" w:fill="E1DFDD"/>
    </w:rPr>
  </w:style>
  <w:style w:type="character" w:customStyle="1" w:styleId="60">
    <w:name w:val="?  ?  ?  ?   ?  ?"/>
    <w:basedOn w:val="19"/>
    <w:link w:val="61"/>
    <w:qFormat/>
    <w:locked/>
    <w:uiPriority w:val="34"/>
    <w:rPr>
      <w:rFonts w:ascii="Calibri" w:hAnsi="Calibri" w:cs="Calibri"/>
    </w:rPr>
  </w:style>
  <w:style w:type="paragraph" w:customStyle="1" w:styleId="61">
    <w:name w:val="?  ?  ?  ?"/>
    <w:basedOn w:val="1"/>
    <w:link w:val="60"/>
    <w:qFormat/>
    <w:uiPriority w:val="34"/>
    <w:pPr>
      <w:wordWrap w:val="0"/>
      <w:overflowPunct/>
      <w:adjustRightInd/>
      <w:spacing w:before="120" w:after="360" w:line="264" w:lineRule="auto"/>
      <w:ind w:left="800" w:leftChars="400" w:firstLine="425"/>
      <w:jc w:val="both"/>
      <w:textAlignment w:val="auto"/>
    </w:pPr>
    <w:rPr>
      <w:rFonts w:ascii="Calibri" w:hAnsi="Calibri" w:cs="Calibri" w:eastAsiaTheme="minorHAnsi"/>
      <w:sz w:val="22"/>
      <w:szCs w:val="22"/>
      <w:lang w:val="en-US" w:eastAsia="en-US"/>
    </w:rPr>
  </w:style>
  <w:style w:type="paragraph" w:styleId="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character" w:customStyle="1" w:styleId="63">
    <w:name w:val="列出段落 Char"/>
    <w:basedOn w:val="19"/>
    <w:link w:val="64"/>
    <w:qFormat/>
    <w:uiPriority w:val="0"/>
    <w:rPr>
      <w:rFonts w:hint="default" w:ascii="Times" w:hAnsi="Times" w:eastAsia="Batang" w:cs="Times"/>
      <w:szCs w:val="24"/>
      <w:lang w:val="en-US"/>
    </w:rPr>
  </w:style>
  <w:style w:type="paragraph" w:customStyle="1" w:styleId="64">
    <w:name w:val="列出段落1"/>
    <w:basedOn w:val="1"/>
    <w:link w:val="63"/>
    <w:qFormat/>
    <w:uiPriority w:val="0"/>
    <w:pPr>
      <w:spacing w:after="0"/>
      <w:ind w:left="840" w:leftChars="400"/>
    </w:pPr>
    <w:rPr>
      <w:rFonts w:ascii="Times" w:hAnsi="Times" w:eastAsia="Batang"/>
      <w:szCs w:val="24"/>
      <w:lang w:val="en-US" w:eastAsia="zh-CN"/>
    </w:rPr>
  </w:style>
  <w:style w:type="paragraph" w:customStyle="1" w:styleId="65">
    <w:name w:val="x_tah"/>
    <w:basedOn w:val="1"/>
    <w:qFormat/>
    <w:uiPriority w:val="0"/>
    <w:pPr>
      <w:keepNext/>
      <w:spacing w:after="0" w:line="252" w:lineRule="auto"/>
      <w:jc w:val="center"/>
    </w:pPr>
    <w:rPr>
      <w:rFonts w:ascii="Arial" w:hAnsi="Arial" w:eastAsia="宋体"/>
      <w:b/>
      <w:sz w:val="18"/>
      <w:szCs w:val="18"/>
      <w:lang w:val="en-US" w:eastAsia="zh-CN"/>
    </w:rPr>
  </w:style>
  <w:style w:type="paragraph" w:customStyle="1" w:styleId="66">
    <w:name w:val="x_msonormal"/>
    <w:basedOn w:val="1"/>
    <w:qFormat/>
    <w:uiPriority w:val="0"/>
    <w:pPr>
      <w:spacing w:after="0"/>
    </w:pPr>
    <w:rPr>
      <w:rFonts w:ascii="Calibri" w:hAnsi="Calibri" w:eastAsia="Calibri"/>
      <w:sz w:val="22"/>
      <w:szCs w:val="22"/>
      <w:lang w:val="en-US" w:eastAsia="zh-CN"/>
    </w:rPr>
  </w:style>
  <w:style w:type="character" w:customStyle="1" w:styleId="67">
    <w:name w:val="TAH Car"/>
    <w:basedOn w:val="19"/>
    <w:link w:val="68"/>
    <w:qFormat/>
    <w:uiPriority w:val="0"/>
    <w:rPr>
      <w:rFonts w:ascii="Arial" w:hAnsi="Arial" w:eastAsia="Times New Roman" w:cs="Arial"/>
      <w:b/>
      <w:sz w:val="18"/>
      <w:lang w:val="en-US" w:eastAsia="en-US"/>
    </w:rPr>
  </w:style>
  <w:style w:type="paragraph" w:customStyle="1" w:styleId="68">
    <w:name w:val="TAH"/>
    <w:basedOn w:val="1"/>
    <w:link w:val="67"/>
    <w:qFormat/>
    <w:uiPriority w:val="0"/>
    <w:pPr>
      <w:keepNext/>
      <w:keepLines/>
      <w:spacing w:after="0"/>
      <w:jc w:val="center"/>
    </w:pPr>
    <w:rPr>
      <w:rFonts w:ascii="Arial" w:hAnsi="Arial"/>
      <w:b/>
      <w:sz w:val="18"/>
      <w:lang w:val="en-US" w:eastAsia="zh-CN"/>
    </w:rPr>
  </w:style>
  <w:style w:type="paragraph" w:customStyle="1" w:styleId="69">
    <w:name w:val="References"/>
    <w:basedOn w:val="1"/>
    <w:qFormat/>
    <w:uiPriority w:val="0"/>
    <w:pPr>
      <w:numPr>
        <w:ilvl w:val="0"/>
        <w:numId w:val="4"/>
      </w:numPr>
      <w:spacing w:after="60"/>
    </w:pPr>
    <w:rPr>
      <w:szCs w:val="16"/>
      <w:lang w:eastAsia="en-US"/>
    </w:rPr>
  </w:style>
  <w:style w:type="paragraph" w:customStyle="1" w:styleId="70">
    <w:name w:val="列表段落1"/>
    <w:basedOn w:val="1"/>
    <w:uiPriority w:val="0"/>
    <w:pPr>
      <w:spacing w:before="100" w:beforeAutospacing="1"/>
      <w:ind w:left="720"/>
      <w:contextualSpacing/>
    </w:pPr>
    <w:rPr>
      <w:rFonts w:eastAsia="宋体"/>
      <w:sz w:val="24"/>
      <w:szCs w:val="24"/>
      <w:lang w:val="en-US" w:eastAsia="zh-CN"/>
    </w:rPr>
  </w:style>
  <w:style w:type="paragraph" w:customStyle="1" w:styleId="71">
    <w:name w:val="Agreement"/>
    <w:basedOn w:val="1"/>
    <w:next w:val="1"/>
    <w:uiPriority w:val="0"/>
    <w:pPr>
      <w:overflowPunct/>
      <w:autoSpaceDN/>
      <w:adjustRightInd/>
      <w:spacing w:before="60" w:after="0"/>
      <w:ind w:left="1080" w:hanging="360"/>
      <w:textAlignment w:val="auto"/>
    </w:pPr>
    <w:rPr>
      <w:rFonts w:ascii="Arial" w:hAnsi="Arial" w:eastAsia="MS Mincho"/>
      <w:b/>
      <w:bCs/>
      <w:sz w:val="24"/>
      <w:szCs w:val="24"/>
      <w:lang w:val="en-US" w:eastAsia="zh-CN"/>
    </w:rPr>
  </w:style>
  <w:style w:type="paragraph" w:customStyle="1" w:styleId="72">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73">
    <w:name w:val="YJ-Observation"/>
    <w:basedOn w:val="1"/>
    <w:qFormat/>
    <w:uiPriority w:val="0"/>
    <w:pPr>
      <w:numPr>
        <w:ilvl w:val="0"/>
        <w:numId w:val="5"/>
      </w:numPr>
      <w:tabs>
        <w:tab w:val="left" w:pos="0"/>
        <w:tab w:val="left" w:pos="420"/>
        <w:tab w:val="left" w:pos="1417"/>
      </w:tabs>
      <w:overflowPunct/>
      <w:autoSpaceDE/>
      <w:autoSpaceDN/>
      <w:adjustRightInd/>
      <w:spacing w:before="50" w:beforeLines="50" w:after="50" w:afterLines="50"/>
      <w:jc w:val="both"/>
      <w:textAlignment w:val="auto"/>
    </w:pPr>
    <w:rPr>
      <w:rFonts w:eastAsiaTheme="minorEastAsia"/>
      <w:b/>
      <w:bCs/>
      <w:kern w:val="2"/>
      <w:sz w:val="21"/>
      <w:szCs w:val="21"/>
      <w:lang w:eastAsia="en-US"/>
    </w:rPr>
  </w:style>
  <w:style w:type="paragraph" w:customStyle="1" w:styleId="74">
    <w:name w:val="YJ-Proposal"/>
    <w:basedOn w:val="1"/>
    <w:qFormat/>
    <w:uiPriority w:val="0"/>
    <w:pPr>
      <w:numPr>
        <w:ilvl w:val="0"/>
        <w:numId w:val="6"/>
      </w:numPr>
      <w:tabs>
        <w:tab w:val="left" w:pos="0"/>
      </w:tabs>
      <w:overflowPunct/>
      <w:autoSpaceDE/>
      <w:autoSpaceDN/>
      <w:adjustRightInd/>
      <w:spacing w:before="50" w:beforeLines="50" w:after="50" w:afterLines="50"/>
      <w:ind w:left="0"/>
      <w:jc w:val="both"/>
      <w:textAlignment w:val="auto"/>
    </w:pPr>
    <w:rPr>
      <w:rFonts w:eastAsiaTheme="minorEastAsia"/>
      <w:b/>
      <w:bCs/>
      <w:kern w:val="2"/>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486F6-B4C3-482C-923C-D74472E6F7D4}">
  <ds:schemaRefs/>
</ds:datastoreItem>
</file>

<file path=customXml/itemProps3.xml><?xml version="1.0" encoding="utf-8"?>
<ds:datastoreItem xmlns:ds="http://schemas.openxmlformats.org/officeDocument/2006/customXml" ds:itemID="{FAF666F4-833B-466E-8230-B8D0E55C0C51}">
  <ds:schemaRefs/>
</ds:datastoreItem>
</file>

<file path=customXml/itemProps4.xml><?xml version="1.0" encoding="utf-8"?>
<ds:datastoreItem xmlns:ds="http://schemas.openxmlformats.org/officeDocument/2006/customXml" ds:itemID="{3FB08149-9E6D-40EC-B961-185DD1C7B3C9}">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1193</Words>
  <Characters>6801</Characters>
  <Lines>56</Lines>
  <Paragraphs>15</Paragraphs>
  <TotalTime>36</TotalTime>
  <ScaleCrop>false</ScaleCrop>
  <LinksUpToDate>false</LinksUpToDate>
  <CharactersWithSpaces>7979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2022-11-04T06:38:00Z</dcterms:created>
  <dcterms:modified xsi:type="dcterms:W3CDTF">2023-05-15T07:34:14Z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2052-11.8.2.9022</vt:lpwstr>
  </property>
</Properties>
</file>